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4BBB6" w14:textId="77777777" w:rsidR="00D54A69" w:rsidRDefault="00D54A69" w:rsidP="00383D29">
      <w:pPr>
        <w:spacing w:line="276" w:lineRule="auto"/>
      </w:pPr>
    </w:p>
    <w:p w14:paraId="4DB1DA82" w14:textId="77777777" w:rsidR="00D54A69" w:rsidRDefault="00D54A69" w:rsidP="00383D29">
      <w:pPr>
        <w:spacing w:line="276" w:lineRule="auto"/>
      </w:pPr>
    </w:p>
    <w:p w14:paraId="3B187935" w14:textId="77777777" w:rsidR="007B404D" w:rsidRDefault="00B61F93" w:rsidP="00383D29">
      <w:pPr>
        <w:spacing w:line="276" w:lineRule="auto"/>
        <w:sectPr w:rsidR="007B404D">
          <w:headerReference w:type="default" r:id="rId8"/>
          <w:type w:val="continuous"/>
          <w:pgSz w:w="11905" w:h="16837"/>
          <w:pgMar w:top="7417" w:right="2516" w:bottom="1149" w:left="2560" w:header="708" w:footer="708" w:gutter="0"/>
          <w:cols w:space="708"/>
        </w:sectPr>
      </w:pPr>
      <w:r>
        <w:rPr>
          <w:noProof/>
        </w:rPr>
        <w:drawing>
          <wp:anchor distT="0" distB="0" distL="114300" distR="114300" simplePos="0" relativeHeight="251658240" behindDoc="0" locked="0" layoutInCell="1" allowOverlap="1" wp14:anchorId="5640B672" wp14:editId="0BA41965">
            <wp:simplePos x="0" y="0"/>
            <wp:positionH relativeFrom="column">
              <wp:posOffset>592455</wp:posOffset>
            </wp:positionH>
            <wp:positionV relativeFrom="paragraph">
              <wp:posOffset>1241637</wp:posOffset>
            </wp:positionV>
            <wp:extent cx="3802380" cy="196913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_logo_text_rgb transparan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02380" cy="1969135"/>
                    </a:xfrm>
                    <a:prstGeom prst="rect">
                      <a:avLst/>
                    </a:prstGeom>
                  </pic:spPr>
                </pic:pic>
              </a:graphicData>
            </a:graphic>
            <wp14:sizeRelH relativeFrom="page">
              <wp14:pctWidth>0</wp14:pctWidth>
            </wp14:sizeRelH>
            <wp14:sizeRelV relativeFrom="page">
              <wp14:pctHeight>0</wp14:pctHeight>
            </wp14:sizeRelV>
          </wp:anchor>
        </w:drawing>
      </w:r>
    </w:p>
    <w:p w14:paraId="34EEAF29" w14:textId="77777777" w:rsidR="007B404D" w:rsidRDefault="007B404D" w:rsidP="00383D29">
      <w:pPr>
        <w:spacing w:line="276" w:lineRule="auto"/>
      </w:pPr>
    </w:p>
    <w:p w14:paraId="43C2879E" w14:textId="77777777" w:rsidR="00533CA2" w:rsidRPr="00533CA2" w:rsidRDefault="00533CA2" w:rsidP="00614D85">
      <w:pPr>
        <w:spacing w:line="276" w:lineRule="auto"/>
        <w:ind w:left="142" w:right="-46"/>
        <w:rPr>
          <w:sz w:val="24"/>
          <w:szCs w:val="26"/>
        </w:rPr>
      </w:pPr>
      <w:r w:rsidRPr="00533CA2">
        <w:rPr>
          <w:sz w:val="24"/>
          <w:szCs w:val="26"/>
        </w:rPr>
        <w:t>Wijzigingenblad</w:t>
      </w:r>
    </w:p>
    <w:p w14:paraId="18D99C6E" w14:textId="77777777" w:rsidR="00533CA2" w:rsidRDefault="00533CA2" w:rsidP="00383D29">
      <w:pPr>
        <w:spacing w:line="276" w:lineRule="auto"/>
        <w:rPr>
          <w:lang w:val="en-US"/>
        </w:rPr>
      </w:pPr>
    </w:p>
    <w:p w14:paraId="6F52EE3E" w14:textId="77777777" w:rsidR="00533CA2" w:rsidRDefault="00533CA2" w:rsidP="00383D29">
      <w:pPr>
        <w:spacing w:line="276" w:lineRule="auto"/>
        <w:rPr>
          <w:lang w:val="en-US"/>
        </w:rPr>
      </w:pPr>
    </w:p>
    <w:p w14:paraId="5B8AA8E6" w14:textId="77777777" w:rsidR="00533CA2" w:rsidRDefault="00533CA2" w:rsidP="00614D85">
      <w:pPr>
        <w:spacing w:line="276" w:lineRule="auto"/>
        <w:ind w:right="-46"/>
        <w:rPr>
          <w:lang w:val="en-US"/>
        </w:rPr>
      </w:pPr>
    </w:p>
    <w:tbl>
      <w:tblPr>
        <w:tblStyle w:val="Tabelraster"/>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67"/>
        <w:gridCol w:w="947"/>
        <w:gridCol w:w="3086"/>
        <w:gridCol w:w="1541"/>
      </w:tblGrid>
      <w:tr w:rsidR="00B61F93" w:rsidRPr="00E34122" w14:paraId="525EB478" w14:textId="77777777" w:rsidTr="00E34122">
        <w:trPr>
          <w:jc w:val="center"/>
        </w:trPr>
        <w:tc>
          <w:tcPr>
            <w:tcW w:w="1467" w:type="dxa"/>
            <w:tcBorders>
              <w:bottom w:val="single" w:sz="4" w:space="0" w:color="808080" w:themeColor="background1" w:themeShade="80"/>
            </w:tcBorders>
            <w:shd w:val="clear" w:color="auto" w:fill="auto"/>
          </w:tcPr>
          <w:p w14:paraId="717E5A71" w14:textId="77777777" w:rsidR="00614D85" w:rsidRPr="00E34122" w:rsidRDefault="00614D85" w:rsidP="00383D29">
            <w:pPr>
              <w:spacing w:line="276" w:lineRule="auto"/>
              <w:rPr>
                <w:b/>
                <w:bCs/>
                <w:color w:val="auto"/>
                <w:sz w:val="16"/>
                <w:szCs w:val="16"/>
              </w:rPr>
            </w:pPr>
            <w:r w:rsidRPr="00E34122">
              <w:rPr>
                <w:b/>
                <w:bCs/>
                <w:color w:val="auto"/>
                <w:sz w:val="16"/>
                <w:szCs w:val="16"/>
              </w:rPr>
              <w:t>datum wijziging</w:t>
            </w:r>
          </w:p>
        </w:tc>
        <w:tc>
          <w:tcPr>
            <w:tcW w:w="947" w:type="dxa"/>
            <w:tcBorders>
              <w:bottom w:val="single" w:sz="4" w:space="0" w:color="808080" w:themeColor="background1" w:themeShade="80"/>
            </w:tcBorders>
            <w:shd w:val="clear" w:color="auto" w:fill="auto"/>
          </w:tcPr>
          <w:p w14:paraId="1760878E" w14:textId="77777777" w:rsidR="00614D85" w:rsidRPr="00E34122" w:rsidRDefault="00614D85" w:rsidP="00383D29">
            <w:pPr>
              <w:spacing w:line="276" w:lineRule="auto"/>
              <w:rPr>
                <w:b/>
                <w:bCs/>
                <w:color w:val="auto"/>
                <w:sz w:val="16"/>
                <w:szCs w:val="16"/>
              </w:rPr>
            </w:pPr>
            <w:r w:rsidRPr="00E34122">
              <w:rPr>
                <w:b/>
                <w:bCs/>
                <w:color w:val="auto"/>
                <w:sz w:val="16"/>
                <w:szCs w:val="16"/>
              </w:rPr>
              <w:t>auteur</w:t>
            </w:r>
          </w:p>
        </w:tc>
        <w:tc>
          <w:tcPr>
            <w:tcW w:w="3086" w:type="dxa"/>
            <w:tcBorders>
              <w:bottom w:val="single" w:sz="4" w:space="0" w:color="808080" w:themeColor="background1" w:themeShade="80"/>
            </w:tcBorders>
            <w:shd w:val="clear" w:color="auto" w:fill="auto"/>
          </w:tcPr>
          <w:p w14:paraId="6D3D18A4" w14:textId="77777777" w:rsidR="00614D85" w:rsidRPr="00E34122" w:rsidRDefault="00614D85" w:rsidP="00383D29">
            <w:pPr>
              <w:spacing w:line="276" w:lineRule="auto"/>
              <w:rPr>
                <w:b/>
                <w:bCs/>
                <w:color w:val="auto"/>
                <w:sz w:val="16"/>
                <w:szCs w:val="16"/>
              </w:rPr>
            </w:pPr>
            <w:r w:rsidRPr="00E34122">
              <w:rPr>
                <w:b/>
                <w:bCs/>
                <w:color w:val="auto"/>
                <w:sz w:val="16"/>
                <w:szCs w:val="16"/>
              </w:rPr>
              <w:t>wijziging in het kort</w:t>
            </w:r>
          </w:p>
        </w:tc>
        <w:tc>
          <w:tcPr>
            <w:tcW w:w="1541" w:type="dxa"/>
            <w:tcBorders>
              <w:bottom w:val="single" w:sz="4" w:space="0" w:color="808080" w:themeColor="background1" w:themeShade="80"/>
            </w:tcBorders>
            <w:shd w:val="clear" w:color="auto" w:fill="auto"/>
          </w:tcPr>
          <w:p w14:paraId="5BE74569" w14:textId="77777777" w:rsidR="00614D85" w:rsidRPr="00E34122" w:rsidRDefault="00614D85" w:rsidP="00383D29">
            <w:pPr>
              <w:spacing w:line="276" w:lineRule="auto"/>
              <w:rPr>
                <w:b/>
                <w:bCs/>
                <w:color w:val="auto"/>
                <w:sz w:val="16"/>
                <w:szCs w:val="16"/>
              </w:rPr>
            </w:pPr>
            <w:r w:rsidRPr="00E34122">
              <w:rPr>
                <w:b/>
                <w:bCs/>
                <w:color w:val="auto"/>
                <w:sz w:val="16"/>
                <w:szCs w:val="16"/>
              </w:rPr>
              <w:t>§ en/of paginanr.</w:t>
            </w:r>
          </w:p>
        </w:tc>
      </w:tr>
      <w:tr w:rsidR="005D5749" w:rsidRPr="00330856" w14:paraId="6EF4290D" w14:textId="77777777" w:rsidTr="00E34122">
        <w:trPr>
          <w:jc w:val="center"/>
        </w:trPr>
        <w:tc>
          <w:tcPr>
            <w:tcW w:w="7041" w:type="dxa"/>
            <w:gridSpan w:val="4"/>
            <w:shd w:val="clear" w:color="auto" w:fill="BFBFBF" w:themeFill="background1" w:themeFillShade="BF"/>
            <w:vAlign w:val="center"/>
          </w:tcPr>
          <w:p w14:paraId="163E4BF1" w14:textId="65E5B6B6" w:rsidR="005D5749" w:rsidRPr="00330856" w:rsidRDefault="005D5749" w:rsidP="002571B6">
            <w:pPr>
              <w:spacing w:line="276" w:lineRule="auto"/>
              <w:jc w:val="center"/>
              <w:rPr>
                <w:sz w:val="16"/>
                <w:szCs w:val="16"/>
                <w:lang w:val="en-US"/>
              </w:rPr>
            </w:pPr>
            <w:r w:rsidRPr="00330856">
              <w:rPr>
                <w:sz w:val="16"/>
                <w:szCs w:val="16"/>
                <w:lang w:val="en-US"/>
              </w:rPr>
              <w:t>versie 1.</w:t>
            </w:r>
            <w:r w:rsidR="00E34122">
              <w:rPr>
                <w:sz w:val="16"/>
                <w:szCs w:val="16"/>
                <w:lang w:val="en-US"/>
              </w:rPr>
              <w:t>1</w:t>
            </w:r>
          </w:p>
        </w:tc>
      </w:tr>
      <w:tr w:rsidR="00B61F93" w:rsidRPr="00330856" w14:paraId="4B63FC84" w14:textId="77777777" w:rsidTr="005D5749">
        <w:trPr>
          <w:jc w:val="center"/>
        </w:trPr>
        <w:tc>
          <w:tcPr>
            <w:tcW w:w="1467" w:type="dxa"/>
          </w:tcPr>
          <w:p w14:paraId="1B6174DB" w14:textId="77777777" w:rsidR="00614D85" w:rsidRPr="00330856" w:rsidRDefault="00614D85" w:rsidP="00383D29">
            <w:pPr>
              <w:spacing w:line="276" w:lineRule="auto"/>
              <w:rPr>
                <w:sz w:val="16"/>
                <w:szCs w:val="16"/>
                <w:lang w:val="en-US"/>
              </w:rPr>
            </w:pPr>
          </w:p>
        </w:tc>
        <w:tc>
          <w:tcPr>
            <w:tcW w:w="947" w:type="dxa"/>
          </w:tcPr>
          <w:p w14:paraId="04CCA777" w14:textId="78416406" w:rsidR="00614D85" w:rsidRPr="00330856" w:rsidRDefault="00614D85" w:rsidP="00383D29">
            <w:pPr>
              <w:spacing w:line="276" w:lineRule="auto"/>
              <w:rPr>
                <w:sz w:val="16"/>
                <w:szCs w:val="16"/>
                <w:lang w:val="en-US"/>
              </w:rPr>
            </w:pPr>
          </w:p>
        </w:tc>
        <w:tc>
          <w:tcPr>
            <w:tcW w:w="3086" w:type="dxa"/>
          </w:tcPr>
          <w:p w14:paraId="3A4132A8" w14:textId="2A7226A5" w:rsidR="00614D85" w:rsidRPr="00330856" w:rsidRDefault="00614D85" w:rsidP="00383D29">
            <w:pPr>
              <w:spacing w:line="276" w:lineRule="auto"/>
              <w:rPr>
                <w:sz w:val="16"/>
                <w:szCs w:val="16"/>
              </w:rPr>
            </w:pPr>
          </w:p>
        </w:tc>
        <w:tc>
          <w:tcPr>
            <w:tcW w:w="1541" w:type="dxa"/>
          </w:tcPr>
          <w:p w14:paraId="72413A3C" w14:textId="77777777" w:rsidR="00614D85" w:rsidRPr="00330856" w:rsidRDefault="00614D85" w:rsidP="00383D29">
            <w:pPr>
              <w:spacing w:line="276" w:lineRule="auto"/>
              <w:rPr>
                <w:sz w:val="16"/>
                <w:szCs w:val="16"/>
              </w:rPr>
            </w:pPr>
          </w:p>
        </w:tc>
      </w:tr>
      <w:tr w:rsidR="00B61F93" w:rsidRPr="00330856" w14:paraId="6CEBB2FE" w14:textId="77777777" w:rsidTr="005D5749">
        <w:trPr>
          <w:jc w:val="center"/>
        </w:trPr>
        <w:tc>
          <w:tcPr>
            <w:tcW w:w="1467" w:type="dxa"/>
          </w:tcPr>
          <w:p w14:paraId="57B4712C" w14:textId="77777777" w:rsidR="00614D85" w:rsidRPr="00330856" w:rsidRDefault="00614D85" w:rsidP="00383D29">
            <w:pPr>
              <w:spacing w:line="276" w:lineRule="auto"/>
              <w:rPr>
                <w:sz w:val="16"/>
                <w:szCs w:val="16"/>
              </w:rPr>
            </w:pPr>
          </w:p>
        </w:tc>
        <w:tc>
          <w:tcPr>
            <w:tcW w:w="947" w:type="dxa"/>
          </w:tcPr>
          <w:p w14:paraId="406680C6" w14:textId="4ED363A0" w:rsidR="00614D85" w:rsidRPr="00330856" w:rsidRDefault="00614D85" w:rsidP="00383D29">
            <w:pPr>
              <w:spacing w:line="276" w:lineRule="auto"/>
              <w:rPr>
                <w:sz w:val="16"/>
                <w:szCs w:val="16"/>
              </w:rPr>
            </w:pPr>
          </w:p>
        </w:tc>
        <w:tc>
          <w:tcPr>
            <w:tcW w:w="3086" w:type="dxa"/>
          </w:tcPr>
          <w:p w14:paraId="3766F2F6" w14:textId="7FA74372" w:rsidR="00614D85" w:rsidRPr="00330856" w:rsidRDefault="00614D85" w:rsidP="00383D29">
            <w:pPr>
              <w:spacing w:line="276" w:lineRule="auto"/>
              <w:rPr>
                <w:sz w:val="16"/>
                <w:szCs w:val="16"/>
              </w:rPr>
            </w:pPr>
          </w:p>
        </w:tc>
        <w:tc>
          <w:tcPr>
            <w:tcW w:w="1541" w:type="dxa"/>
          </w:tcPr>
          <w:p w14:paraId="0383A8B4" w14:textId="77777777" w:rsidR="00614D85" w:rsidRPr="00330856" w:rsidRDefault="00614D85" w:rsidP="00383D29">
            <w:pPr>
              <w:spacing w:line="276" w:lineRule="auto"/>
              <w:rPr>
                <w:sz w:val="16"/>
                <w:szCs w:val="16"/>
              </w:rPr>
            </w:pPr>
          </w:p>
        </w:tc>
      </w:tr>
      <w:tr w:rsidR="00E34122" w:rsidRPr="00330856" w14:paraId="135ACD6B" w14:textId="77777777" w:rsidTr="00C5408C">
        <w:trPr>
          <w:jc w:val="center"/>
        </w:trPr>
        <w:tc>
          <w:tcPr>
            <w:tcW w:w="7041" w:type="dxa"/>
            <w:gridSpan w:val="4"/>
            <w:shd w:val="clear" w:color="auto" w:fill="BFBFBF" w:themeFill="background1" w:themeFillShade="BF"/>
            <w:vAlign w:val="center"/>
          </w:tcPr>
          <w:p w14:paraId="1490D57D" w14:textId="77777777" w:rsidR="00E34122" w:rsidRPr="00330856" w:rsidRDefault="00E34122" w:rsidP="00C5408C">
            <w:pPr>
              <w:spacing w:line="276" w:lineRule="auto"/>
              <w:jc w:val="center"/>
              <w:rPr>
                <w:sz w:val="16"/>
                <w:szCs w:val="16"/>
                <w:lang w:val="en-US"/>
              </w:rPr>
            </w:pPr>
            <w:r w:rsidRPr="00330856">
              <w:rPr>
                <w:sz w:val="16"/>
                <w:szCs w:val="16"/>
                <w:lang w:val="en-US"/>
              </w:rPr>
              <w:t>versie 1.2</w:t>
            </w:r>
          </w:p>
        </w:tc>
      </w:tr>
      <w:tr w:rsidR="00B61F93" w:rsidRPr="00330856" w14:paraId="32BC256F" w14:textId="77777777" w:rsidTr="005D5749">
        <w:trPr>
          <w:jc w:val="center"/>
        </w:trPr>
        <w:tc>
          <w:tcPr>
            <w:tcW w:w="1467" w:type="dxa"/>
          </w:tcPr>
          <w:p w14:paraId="293E9D8E" w14:textId="77777777" w:rsidR="00614D85" w:rsidRPr="00330856" w:rsidRDefault="00614D85" w:rsidP="00383D29">
            <w:pPr>
              <w:spacing w:line="276" w:lineRule="auto"/>
              <w:rPr>
                <w:sz w:val="16"/>
                <w:szCs w:val="16"/>
              </w:rPr>
            </w:pPr>
          </w:p>
          <w:p w14:paraId="622F1DFC" w14:textId="77777777" w:rsidR="00614D85" w:rsidRPr="00330856" w:rsidRDefault="00614D85" w:rsidP="00383D29">
            <w:pPr>
              <w:spacing w:line="276" w:lineRule="auto"/>
              <w:rPr>
                <w:sz w:val="16"/>
                <w:szCs w:val="16"/>
              </w:rPr>
            </w:pPr>
          </w:p>
        </w:tc>
        <w:tc>
          <w:tcPr>
            <w:tcW w:w="947" w:type="dxa"/>
          </w:tcPr>
          <w:p w14:paraId="449E3EBD" w14:textId="77777777" w:rsidR="00614D85" w:rsidRPr="00330856" w:rsidRDefault="00614D85" w:rsidP="00383D29">
            <w:pPr>
              <w:spacing w:line="276" w:lineRule="auto"/>
              <w:rPr>
                <w:sz w:val="16"/>
                <w:szCs w:val="16"/>
              </w:rPr>
            </w:pPr>
          </w:p>
        </w:tc>
        <w:tc>
          <w:tcPr>
            <w:tcW w:w="3086" w:type="dxa"/>
          </w:tcPr>
          <w:p w14:paraId="05D9AB9C" w14:textId="77777777" w:rsidR="00614D85" w:rsidRPr="00330856" w:rsidRDefault="00614D85" w:rsidP="00383D29">
            <w:pPr>
              <w:spacing w:line="276" w:lineRule="auto"/>
              <w:rPr>
                <w:sz w:val="16"/>
                <w:szCs w:val="16"/>
              </w:rPr>
            </w:pPr>
          </w:p>
        </w:tc>
        <w:tc>
          <w:tcPr>
            <w:tcW w:w="1541" w:type="dxa"/>
          </w:tcPr>
          <w:p w14:paraId="0A993613" w14:textId="77777777" w:rsidR="00614D85" w:rsidRPr="00330856" w:rsidRDefault="00614D85" w:rsidP="00383D29">
            <w:pPr>
              <w:spacing w:line="276" w:lineRule="auto"/>
              <w:rPr>
                <w:sz w:val="16"/>
                <w:szCs w:val="16"/>
              </w:rPr>
            </w:pPr>
          </w:p>
        </w:tc>
      </w:tr>
      <w:tr w:rsidR="00B61F93" w:rsidRPr="00330856" w14:paraId="1AFF8179" w14:textId="77777777" w:rsidTr="005D5749">
        <w:trPr>
          <w:jc w:val="center"/>
        </w:trPr>
        <w:tc>
          <w:tcPr>
            <w:tcW w:w="1467" w:type="dxa"/>
          </w:tcPr>
          <w:p w14:paraId="76F4E571" w14:textId="77777777" w:rsidR="00614D85" w:rsidRPr="00330856" w:rsidRDefault="00614D85" w:rsidP="00383D29">
            <w:pPr>
              <w:spacing w:line="276" w:lineRule="auto"/>
              <w:rPr>
                <w:sz w:val="16"/>
                <w:szCs w:val="16"/>
              </w:rPr>
            </w:pPr>
          </w:p>
          <w:p w14:paraId="2C132340" w14:textId="77777777" w:rsidR="00614D85" w:rsidRPr="00330856" w:rsidRDefault="00614D85" w:rsidP="00383D29">
            <w:pPr>
              <w:spacing w:line="276" w:lineRule="auto"/>
              <w:rPr>
                <w:sz w:val="16"/>
                <w:szCs w:val="16"/>
              </w:rPr>
            </w:pPr>
          </w:p>
        </w:tc>
        <w:tc>
          <w:tcPr>
            <w:tcW w:w="947" w:type="dxa"/>
          </w:tcPr>
          <w:p w14:paraId="753C2A2F" w14:textId="77777777" w:rsidR="00614D85" w:rsidRPr="00330856" w:rsidRDefault="00614D85" w:rsidP="00383D29">
            <w:pPr>
              <w:spacing w:line="276" w:lineRule="auto"/>
              <w:rPr>
                <w:sz w:val="16"/>
                <w:szCs w:val="16"/>
              </w:rPr>
            </w:pPr>
          </w:p>
        </w:tc>
        <w:tc>
          <w:tcPr>
            <w:tcW w:w="3086" w:type="dxa"/>
          </w:tcPr>
          <w:p w14:paraId="202B4869" w14:textId="77777777" w:rsidR="00614D85" w:rsidRPr="00330856" w:rsidRDefault="00614D85" w:rsidP="00383D29">
            <w:pPr>
              <w:spacing w:line="276" w:lineRule="auto"/>
              <w:rPr>
                <w:sz w:val="16"/>
                <w:szCs w:val="16"/>
              </w:rPr>
            </w:pPr>
          </w:p>
        </w:tc>
        <w:tc>
          <w:tcPr>
            <w:tcW w:w="1541" w:type="dxa"/>
          </w:tcPr>
          <w:p w14:paraId="37859706" w14:textId="77777777" w:rsidR="00614D85" w:rsidRPr="00330856" w:rsidRDefault="00614D85" w:rsidP="00383D29">
            <w:pPr>
              <w:spacing w:line="276" w:lineRule="auto"/>
              <w:rPr>
                <w:sz w:val="16"/>
                <w:szCs w:val="16"/>
              </w:rPr>
            </w:pPr>
          </w:p>
        </w:tc>
      </w:tr>
      <w:tr w:rsidR="00B61F93" w:rsidRPr="00330856" w14:paraId="0FB24711" w14:textId="77777777" w:rsidTr="005D5749">
        <w:trPr>
          <w:jc w:val="center"/>
        </w:trPr>
        <w:tc>
          <w:tcPr>
            <w:tcW w:w="1467" w:type="dxa"/>
          </w:tcPr>
          <w:p w14:paraId="5716AC96" w14:textId="77777777" w:rsidR="00614D85" w:rsidRPr="00330856" w:rsidRDefault="00614D85" w:rsidP="00383D29">
            <w:pPr>
              <w:spacing w:line="276" w:lineRule="auto"/>
              <w:rPr>
                <w:sz w:val="16"/>
                <w:szCs w:val="16"/>
              </w:rPr>
            </w:pPr>
          </w:p>
          <w:p w14:paraId="1BE7E816" w14:textId="77777777" w:rsidR="00614D85" w:rsidRPr="00330856" w:rsidRDefault="00614D85" w:rsidP="00383D29">
            <w:pPr>
              <w:spacing w:line="276" w:lineRule="auto"/>
              <w:rPr>
                <w:sz w:val="16"/>
                <w:szCs w:val="16"/>
              </w:rPr>
            </w:pPr>
          </w:p>
        </w:tc>
        <w:tc>
          <w:tcPr>
            <w:tcW w:w="947" w:type="dxa"/>
          </w:tcPr>
          <w:p w14:paraId="2ABF558E" w14:textId="77777777" w:rsidR="00614D85" w:rsidRPr="00330856" w:rsidRDefault="00614D85" w:rsidP="00383D29">
            <w:pPr>
              <w:spacing w:line="276" w:lineRule="auto"/>
              <w:rPr>
                <w:sz w:val="16"/>
                <w:szCs w:val="16"/>
              </w:rPr>
            </w:pPr>
          </w:p>
        </w:tc>
        <w:tc>
          <w:tcPr>
            <w:tcW w:w="3086" w:type="dxa"/>
          </w:tcPr>
          <w:p w14:paraId="0941FFF5" w14:textId="77777777" w:rsidR="00614D85" w:rsidRPr="00330856" w:rsidRDefault="00614D85" w:rsidP="00383D29">
            <w:pPr>
              <w:spacing w:line="276" w:lineRule="auto"/>
              <w:rPr>
                <w:sz w:val="16"/>
                <w:szCs w:val="16"/>
              </w:rPr>
            </w:pPr>
          </w:p>
        </w:tc>
        <w:tc>
          <w:tcPr>
            <w:tcW w:w="1541" w:type="dxa"/>
          </w:tcPr>
          <w:p w14:paraId="4405058A" w14:textId="77777777" w:rsidR="00614D85" w:rsidRPr="00330856" w:rsidRDefault="00614D85" w:rsidP="00383D29">
            <w:pPr>
              <w:spacing w:line="276" w:lineRule="auto"/>
              <w:rPr>
                <w:sz w:val="16"/>
                <w:szCs w:val="16"/>
              </w:rPr>
            </w:pPr>
          </w:p>
        </w:tc>
      </w:tr>
      <w:tr w:rsidR="00B61F93" w:rsidRPr="00330856" w14:paraId="5985A3B8" w14:textId="77777777" w:rsidTr="005D5749">
        <w:trPr>
          <w:jc w:val="center"/>
        </w:trPr>
        <w:tc>
          <w:tcPr>
            <w:tcW w:w="1467" w:type="dxa"/>
          </w:tcPr>
          <w:p w14:paraId="455D190A" w14:textId="77777777" w:rsidR="00614D85" w:rsidRPr="00330856" w:rsidRDefault="00614D85" w:rsidP="00383D29">
            <w:pPr>
              <w:spacing w:line="276" w:lineRule="auto"/>
              <w:rPr>
                <w:sz w:val="16"/>
                <w:szCs w:val="16"/>
              </w:rPr>
            </w:pPr>
          </w:p>
          <w:p w14:paraId="1F966183" w14:textId="77777777" w:rsidR="00614D85" w:rsidRPr="00330856" w:rsidRDefault="00614D85" w:rsidP="00383D29">
            <w:pPr>
              <w:spacing w:line="276" w:lineRule="auto"/>
              <w:rPr>
                <w:sz w:val="16"/>
                <w:szCs w:val="16"/>
              </w:rPr>
            </w:pPr>
          </w:p>
        </w:tc>
        <w:tc>
          <w:tcPr>
            <w:tcW w:w="947" w:type="dxa"/>
          </w:tcPr>
          <w:p w14:paraId="6727A000" w14:textId="77777777" w:rsidR="00614D85" w:rsidRPr="00330856" w:rsidRDefault="00614D85" w:rsidP="00383D29">
            <w:pPr>
              <w:spacing w:line="276" w:lineRule="auto"/>
              <w:rPr>
                <w:sz w:val="16"/>
                <w:szCs w:val="16"/>
              </w:rPr>
            </w:pPr>
          </w:p>
        </w:tc>
        <w:tc>
          <w:tcPr>
            <w:tcW w:w="3086" w:type="dxa"/>
          </w:tcPr>
          <w:p w14:paraId="76320FCA" w14:textId="77777777" w:rsidR="00614D85" w:rsidRPr="00330856" w:rsidRDefault="00614D85" w:rsidP="00383D29">
            <w:pPr>
              <w:spacing w:line="276" w:lineRule="auto"/>
              <w:rPr>
                <w:sz w:val="16"/>
                <w:szCs w:val="16"/>
              </w:rPr>
            </w:pPr>
          </w:p>
        </w:tc>
        <w:tc>
          <w:tcPr>
            <w:tcW w:w="1541" w:type="dxa"/>
          </w:tcPr>
          <w:p w14:paraId="7994B8E2" w14:textId="77777777" w:rsidR="00614D85" w:rsidRPr="00330856" w:rsidRDefault="00614D85" w:rsidP="00383D29">
            <w:pPr>
              <w:spacing w:line="276" w:lineRule="auto"/>
              <w:rPr>
                <w:sz w:val="16"/>
                <w:szCs w:val="16"/>
              </w:rPr>
            </w:pPr>
          </w:p>
        </w:tc>
      </w:tr>
      <w:tr w:rsidR="00B61F93" w:rsidRPr="00330856" w14:paraId="7F6BF2DE" w14:textId="77777777" w:rsidTr="005D5749">
        <w:trPr>
          <w:jc w:val="center"/>
        </w:trPr>
        <w:tc>
          <w:tcPr>
            <w:tcW w:w="1467" w:type="dxa"/>
          </w:tcPr>
          <w:p w14:paraId="76E6C027" w14:textId="77777777" w:rsidR="00614D85" w:rsidRPr="00330856" w:rsidRDefault="00614D85" w:rsidP="00383D29">
            <w:pPr>
              <w:spacing w:line="276" w:lineRule="auto"/>
              <w:rPr>
                <w:sz w:val="16"/>
                <w:szCs w:val="16"/>
              </w:rPr>
            </w:pPr>
          </w:p>
          <w:p w14:paraId="0D66911B" w14:textId="77777777" w:rsidR="00614D85" w:rsidRPr="00330856" w:rsidRDefault="00614D85" w:rsidP="00383D29">
            <w:pPr>
              <w:spacing w:line="276" w:lineRule="auto"/>
              <w:rPr>
                <w:sz w:val="16"/>
                <w:szCs w:val="16"/>
              </w:rPr>
            </w:pPr>
          </w:p>
        </w:tc>
        <w:tc>
          <w:tcPr>
            <w:tcW w:w="947" w:type="dxa"/>
          </w:tcPr>
          <w:p w14:paraId="32D972E1" w14:textId="77777777" w:rsidR="00614D85" w:rsidRPr="00330856" w:rsidRDefault="00614D85" w:rsidP="00383D29">
            <w:pPr>
              <w:spacing w:line="276" w:lineRule="auto"/>
              <w:rPr>
                <w:sz w:val="16"/>
                <w:szCs w:val="16"/>
              </w:rPr>
            </w:pPr>
          </w:p>
        </w:tc>
        <w:tc>
          <w:tcPr>
            <w:tcW w:w="3086" w:type="dxa"/>
          </w:tcPr>
          <w:p w14:paraId="5B18F2CF" w14:textId="77777777" w:rsidR="00614D85" w:rsidRPr="00330856" w:rsidRDefault="00614D85" w:rsidP="00383D29">
            <w:pPr>
              <w:spacing w:line="276" w:lineRule="auto"/>
              <w:rPr>
                <w:sz w:val="16"/>
                <w:szCs w:val="16"/>
              </w:rPr>
            </w:pPr>
          </w:p>
        </w:tc>
        <w:tc>
          <w:tcPr>
            <w:tcW w:w="1541" w:type="dxa"/>
          </w:tcPr>
          <w:p w14:paraId="6727DD91" w14:textId="77777777" w:rsidR="00614D85" w:rsidRPr="00330856" w:rsidRDefault="00614D85" w:rsidP="00383D29">
            <w:pPr>
              <w:spacing w:line="276" w:lineRule="auto"/>
              <w:rPr>
                <w:sz w:val="16"/>
                <w:szCs w:val="16"/>
              </w:rPr>
            </w:pPr>
          </w:p>
        </w:tc>
      </w:tr>
      <w:tr w:rsidR="00B61F93" w:rsidRPr="00330856" w14:paraId="16F1FDBB" w14:textId="77777777" w:rsidTr="005D5749">
        <w:trPr>
          <w:jc w:val="center"/>
        </w:trPr>
        <w:tc>
          <w:tcPr>
            <w:tcW w:w="1467" w:type="dxa"/>
          </w:tcPr>
          <w:p w14:paraId="6B511DC4" w14:textId="77777777" w:rsidR="00614D85" w:rsidRPr="00330856" w:rsidRDefault="00614D85" w:rsidP="00383D29">
            <w:pPr>
              <w:spacing w:line="276" w:lineRule="auto"/>
              <w:rPr>
                <w:sz w:val="16"/>
                <w:szCs w:val="16"/>
              </w:rPr>
            </w:pPr>
          </w:p>
          <w:p w14:paraId="21EFD06E" w14:textId="77777777" w:rsidR="00614D85" w:rsidRPr="00330856" w:rsidRDefault="00614D85" w:rsidP="00383D29">
            <w:pPr>
              <w:spacing w:line="276" w:lineRule="auto"/>
              <w:rPr>
                <w:sz w:val="16"/>
                <w:szCs w:val="16"/>
              </w:rPr>
            </w:pPr>
          </w:p>
        </w:tc>
        <w:tc>
          <w:tcPr>
            <w:tcW w:w="947" w:type="dxa"/>
          </w:tcPr>
          <w:p w14:paraId="081BD8EB" w14:textId="77777777" w:rsidR="00614D85" w:rsidRPr="00330856" w:rsidRDefault="00614D85" w:rsidP="00383D29">
            <w:pPr>
              <w:spacing w:line="276" w:lineRule="auto"/>
              <w:rPr>
                <w:sz w:val="16"/>
                <w:szCs w:val="16"/>
              </w:rPr>
            </w:pPr>
          </w:p>
        </w:tc>
        <w:tc>
          <w:tcPr>
            <w:tcW w:w="3086" w:type="dxa"/>
          </w:tcPr>
          <w:p w14:paraId="2F5D5164" w14:textId="77777777" w:rsidR="00614D85" w:rsidRPr="00330856" w:rsidRDefault="00614D85" w:rsidP="00383D29">
            <w:pPr>
              <w:spacing w:line="276" w:lineRule="auto"/>
              <w:rPr>
                <w:sz w:val="16"/>
                <w:szCs w:val="16"/>
              </w:rPr>
            </w:pPr>
          </w:p>
        </w:tc>
        <w:tc>
          <w:tcPr>
            <w:tcW w:w="1541" w:type="dxa"/>
          </w:tcPr>
          <w:p w14:paraId="2A082EA3" w14:textId="77777777" w:rsidR="00614D85" w:rsidRPr="00330856" w:rsidRDefault="00614D85" w:rsidP="00383D29">
            <w:pPr>
              <w:spacing w:line="276" w:lineRule="auto"/>
              <w:rPr>
                <w:sz w:val="16"/>
                <w:szCs w:val="16"/>
              </w:rPr>
            </w:pPr>
          </w:p>
        </w:tc>
      </w:tr>
      <w:tr w:rsidR="00B61F93" w:rsidRPr="00330856" w14:paraId="695749E4" w14:textId="77777777" w:rsidTr="005D5749">
        <w:trPr>
          <w:jc w:val="center"/>
        </w:trPr>
        <w:tc>
          <w:tcPr>
            <w:tcW w:w="1467" w:type="dxa"/>
          </w:tcPr>
          <w:p w14:paraId="5C9FB298" w14:textId="77777777" w:rsidR="00614D85" w:rsidRPr="00330856" w:rsidRDefault="00614D85" w:rsidP="00383D29">
            <w:pPr>
              <w:spacing w:line="276" w:lineRule="auto"/>
              <w:rPr>
                <w:sz w:val="16"/>
                <w:szCs w:val="16"/>
              </w:rPr>
            </w:pPr>
          </w:p>
          <w:p w14:paraId="75934BE1" w14:textId="77777777" w:rsidR="00614D85" w:rsidRPr="00330856" w:rsidRDefault="00614D85" w:rsidP="00383D29">
            <w:pPr>
              <w:spacing w:line="276" w:lineRule="auto"/>
              <w:rPr>
                <w:sz w:val="16"/>
                <w:szCs w:val="16"/>
              </w:rPr>
            </w:pPr>
          </w:p>
        </w:tc>
        <w:tc>
          <w:tcPr>
            <w:tcW w:w="947" w:type="dxa"/>
          </w:tcPr>
          <w:p w14:paraId="2ED2EEB3" w14:textId="77777777" w:rsidR="00614D85" w:rsidRPr="00330856" w:rsidRDefault="00614D85" w:rsidP="00383D29">
            <w:pPr>
              <w:spacing w:line="276" w:lineRule="auto"/>
              <w:rPr>
                <w:sz w:val="16"/>
                <w:szCs w:val="16"/>
              </w:rPr>
            </w:pPr>
          </w:p>
        </w:tc>
        <w:tc>
          <w:tcPr>
            <w:tcW w:w="3086" w:type="dxa"/>
          </w:tcPr>
          <w:p w14:paraId="6D1C1B85" w14:textId="77777777" w:rsidR="00614D85" w:rsidRPr="00330856" w:rsidRDefault="00614D85" w:rsidP="00383D29">
            <w:pPr>
              <w:spacing w:line="276" w:lineRule="auto"/>
              <w:rPr>
                <w:sz w:val="16"/>
                <w:szCs w:val="16"/>
              </w:rPr>
            </w:pPr>
          </w:p>
        </w:tc>
        <w:tc>
          <w:tcPr>
            <w:tcW w:w="1541" w:type="dxa"/>
          </w:tcPr>
          <w:p w14:paraId="6A58BCFE" w14:textId="77777777" w:rsidR="00614D85" w:rsidRPr="00330856" w:rsidRDefault="00614D85" w:rsidP="00383D29">
            <w:pPr>
              <w:spacing w:line="276" w:lineRule="auto"/>
              <w:rPr>
                <w:sz w:val="16"/>
                <w:szCs w:val="16"/>
              </w:rPr>
            </w:pPr>
          </w:p>
        </w:tc>
      </w:tr>
      <w:tr w:rsidR="00B61F93" w:rsidRPr="00330856" w14:paraId="77C609DA" w14:textId="77777777" w:rsidTr="005D5749">
        <w:trPr>
          <w:jc w:val="center"/>
        </w:trPr>
        <w:tc>
          <w:tcPr>
            <w:tcW w:w="1467" w:type="dxa"/>
          </w:tcPr>
          <w:p w14:paraId="54BAA610" w14:textId="77777777" w:rsidR="00614D85" w:rsidRPr="00330856" w:rsidRDefault="00614D85" w:rsidP="00383D29">
            <w:pPr>
              <w:spacing w:line="276" w:lineRule="auto"/>
              <w:rPr>
                <w:sz w:val="16"/>
                <w:szCs w:val="16"/>
              </w:rPr>
            </w:pPr>
          </w:p>
          <w:p w14:paraId="1781A5C8" w14:textId="77777777" w:rsidR="00614D85" w:rsidRPr="00330856" w:rsidRDefault="00614D85" w:rsidP="00383D29">
            <w:pPr>
              <w:spacing w:line="276" w:lineRule="auto"/>
              <w:rPr>
                <w:sz w:val="16"/>
                <w:szCs w:val="16"/>
              </w:rPr>
            </w:pPr>
          </w:p>
        </w:tc>
        <w:tc>
          <w:tcPr>
            <w:tcW w:w="947" w:type="dxa"/>
          </w:tcPr>
          <w:p w14:paraId="63C1A7B2" w14:textId="77777777" w:rsidR="00614D85" w:rsidRPr="00330856" w:rsidRDefault="00614D85" w:rsidP="00383D29">
            <w:pPr>
              <w:spacing w:line="276" w:lineRule="auto"/>
              <w:rPr>
                <w:sz w:val="16"/>
                <w:szCs w:val="16"/>
              </w:rPr>
            </w:pPr>
          </w:p>
        </w:tc>
        <w:tc>
          <w:tcPr>
            <w:tcW w:w="3086" w:type="dxa"/>
          </w:tcPr>
          <w:p w14:paraId="174B40CB" w14:textId="77777777" w:rsidR="00614D85" w:rsidRPr="00330856" w:rsidRDefault="00614D85" w:rsidP="00383D29">
            <w:pPr>
              <w:spacing w:line="276" w:lineRule="auto"/>
              <w:rPr>
                <w:sz w:val="16"/>
                <w:szCs w:val="16"/>
              </w:rPr>
            </w:pPr>
          </w:p>
        </w:tc>
        <w:tc>
          <w:tcPr>
            <w:tcW w:w="1541" w:type="dxa"/>
          </w:tcPr>
          <w:p w14:paraId="3D015927" w14:textId="77777777" w:rsidR="00614D85" w:rsidRPr="00330856" w:rsidRDefault="00614D85" w:rsidP="00383D29">
            <w:pPr>
              <w:spacing w:line="276" w:lineRule="auto"/>
              <w:rPr>
                <w:sz w:val="16"/>
                <w:szCs w:val="16"/>
              </w:rPr>
            </w:pPr>
          </w:p>
        </w:tc>
      </w:tr>
      <w:tr w:rsidR="00B61F93" w:rsidRPr="00330856" w14:paraId="44F9DD4F" w14:textId="77777777" w:rsidTr="005D5749">
        <w:trPr>
          <w:jc w:val="center"/>
        </w:trPr>
        <w:tc>
          <w:tcPr>
            <w:tcW w:w="1467" w:type="dxa"/>
          </w:tcPr>
          <w:p w14:paraId="0374E47D" w14:textId="77777777" w:rsidR="00614D85" w:rsidRPr="00330856" w:rsidRDefault="00614D85" w:rsidP="00383D29">
            <w:pPr>
              <w:spacing w:line="276" w:lineRule="auto"/>
              <w:rPr>
                <w:sz w:val="16"/>
                <w:szCs w:val="16"/>
              </w:rPr>
            </w:pPr>
          </w:p>
          <w:p w14:paraId="366E3F4A" w14:textId="77777777" w:rsidR="00614D85" w:rsidRPr="00330856" w:rsidRDefault="00614D85" w:rsidP="00383D29">
            <w:pPr>
              <w:spacing w:line="276" w:lineRule="auto"/>
              <w:rPr>
                <w:sz w:val="16"/>
                <w:szCs w:val="16"/>
              </w:rPr>
            </w:pPr>
          </w:p>
        </w:tc>
        <w:tc>
          <w:tcPr>
            <w:tcW w:w="947" w:type="dxa"/>
          </w:tcPr>
          <w:p w14:paraId="3E7ED658" w14:textId="77777777" w:rsidR="00614D85" w:rsidRPr="00330856" w:rsidRDefault="00614D85" w:rsidP="00383D29">
            <w:pPr>
              <w:spacing w:line="276" w:lineRule="auto"/>
              <w:rPr>
                <w:sz w:val="16"/>
                <w:szCs w:val="16"/>
              </w:rPr>
            </w:pPr>
          </w:p>
        </w:tc>
        <w:tc>
          <w:tcPr>
            <w:tcW w:w="3086" w:type="dxa"/>
          </w:tcPr>
          <w:p w14:paraId="22F1CD5B" w14:textId="77777777" w:rsidR="00614D85" w:rsidRPr="00330856" w:rsidRDefault="00614D85" w:rsidP="00383D29">
            <w:pPr>
              <w:spacing w:line="276" w:lineRule="auto"/>
              <w:rPr>
                <w:sz w:val="16"/>
                <w:szCs w:val="16"/>
              </w:rPr>
            </w:pPr>
          </w:p>
        </w:tc>
        <w:tc>
          <w:tcPr>
            <w:tcW w:w="1541" w:type="dxa"/>
          </w:tcPr>
          <w:p w14:paraId="315FD84D" w14:textId="77777777" w:rsidR="00614D85" w:rsidRPr="00330856" w:rsidRDefault="00614D85" w:rsidP="00383D29">
            <w:pPr>
              <w:spacing w:line="276" w:lineRule="auto"/>
              <w:rPr>
                <w:sz w:val="16"/>
                <w:szCs w:val="16"/>
              </w:rPr>
            </w:pPr>
          </w:p>
        </w:tc>
      </w:tr>
    </w:tbl>
    <w:p w14:paraId="40AC09A6" w14:textId="77777777" w:rsidR="00533CA2" w:rsidRPr="00330856" w:rsidRDefault="00533CA2" w:rsidP="00383D29">
      <w:pPr>
        <w:spacing w:line="276" w:lineRule="auto"/>
        <w:rPr>
          <w:sz w:val="16"/>
          <w:szCs w:val="16"/>
        </w:rPr>
      </w:pPr>
    </w:p>
    <w:p w14:paraId="22FAF900" w14:textId="77777777" w:rsidR="00533CA2" w:rsidRPr="002571B6" w:rsidRDefault="00533CA2" w:rsidP="00383D29">
      <w:pPr>
        <w:spacing w:line="276" w:lineRule="auto"/>
      </w:pPr>
    </w:p>
    <w:p w14:paraId="112F4AB9" w14:textId="77777777" w:rsidR="00533CA2" w:rsidRPr="002571B6" w:rsidRDefault="00533CA2" w:rsidP="00383D29">
      <w:pPr>
        <w:spacing w:line="276" w:lineRule="auto"/>
      </w:pPr>
    </w:p>
    <w:p w14:paraId="5E5246E4" w14:textId="77777777" w:rsidR="00533CA2" w:rsidRDefault="00533CA2" w:rsidP="00383D29">
      <w:pPr>
        <w:spacing w:line="276" w:lineRule="auto"/>
        <w:rPr>
          <w:sz w:val="24"/>
          <w:szCs w:val="24"/>
        </w:rPr>
      </w:pPr>
      <w:r>
        <w:br w:type="page"/>
      </w:r>
    </w:p>
    <w:p w14:paraId="15766EB3" w14:textId="4949F584" w:rsidR="007B404D" w:rsidRDefault="008A12F1" w:rsidP="00614D85">
      <w:pPr>
        <w:pStyle w:val="StandaardVerdana12"/>
        <w:spacing w:line="276" w:lineRule="auto"/>
        <w:ind w:left="1134" w:hanging="1134"/>
      </w:pPr>
      <w:r>
        <w:lastRenderedPageBreak/>
        <w:t>Inhoud</w:t>
      </w:r>
      <w:r w:rsidR="004F18C2">
        <w:t>sopgave</w:t>
      </w:r>
    </w:p>
    <w:p w14:paraId="7084E54A" w14:textId="355D2E9C" w:rsidR="000128D9" w:rsidRDefault="000128D9" w:rsidP="00ED3B1C">
      <w:pPr>
        <w:ind w:left="567" w:hanging="567"/>
      </w:pPr>
    </w:p>
    <w:p w14:paraId="52D1F1B5" w14:textId="48A43237" w:rsidR="000128D9" w:rsidRDefault="000128D9" w:rsidP="000128D9"/>
    <w:bookmarkStart w:id="0" w:name="_GoBack"/>
    <w:bookmarkEnd w:id="0"/>
    <w:p w14:paraId="71F51D21" w14:textId="0279DFDF" w:rsidR="009F30BC" w:rsidRDefault="00ED3B1C">
      <w:pPr>
        <w:pStyle w:val="Inhopg1"/>
        <w:tabs>
          <w:tab w:val="right" w:pos="6821"/>
        </w:tabs>
        <w:rPr>
          <w:rFonts w:eastAsiaTheme="minorEastAsia" w:cstheme="minorBidi"/>
          <w:bCs w:val="0"/>
          <w:caps w:val="0"/>
          <w:noProof/>
          <w:sz w:val="22"/>
          <w:szCs w:val="22"/>
        </w:rPr>
      </w:pPr>
      <w:r w:rsidRPr="004F18C2">
        <w:rPr>
          <w:rFonts w:ascii="Verdana" w:hAnsi="Verdana"/>
          <w:bCs w:val="0"/>
          <w:caps w:val="0"/>
        </w:rPr>
        <w:fldChar w:fldCharType="begin"/>
      </w:r>
      <w:r w:rsidRPr="004F18C2">
        <w:rPr>
          <w:rFonts w:ascii="Verdana" w:hAnsi="Verdana"/>
          <w:bCs w:val="0"/>
          <w:caps w:val="0"/>
        </w:rPr>
        <w:instrText xml:space="preserve"> TOC \o "1-1" \h \z \u </w:instrText>
      </w:r>
      <w:r w:rsidRPr="004F18C2">
        <w:rPr>
          <w:rFonts w:ascii="Verdana" w:hAnsi="Verdana"/>
          <w:bCs w:val="0"/>
          <w:caps w:val="0"/>
        </w:rPr>
        <w:fldChar w:fldCharType="separate"/>
      </w:r>
      <w:hyperlink w:anchor="_Toc39233675" w:history="1">
        <w:r w:rsidR="009F30BC" w:rsidRPr="00EE03D7">
          <w:rPr>
            <w:rStyle w:val="Hyperlink"/>
            <w:noProof/>
          </w:rPr>
          <w:t>Proclaimer</w:t>
        </w:r>
        <w:r w:rsidR="009F30BC">
          <w:rPr>
            <w:noProof/>
            <w:webHidden/>
          </w:rPr>
          <w:tab/>
        </w:r>
        <w:r w:rsidR="009F30BC">
          <w:rPr>
            <w:noProof/>
            <w:webHidden/>
          </w:rPr>
          <w:fldChar w:fldCharType="begin"/>
        </w:r>
        <w:r w:rsidR="009F30BC">
          <w:rPr>
            <w:noProof/>
            <w:webHidden/>
          </w:rPr>
          <w:instrText xml:space="preserve"> PAGEREF _Toc39233675 \h </w:instrText>
        </w:r>
        <w:r w:rsidR="009F30BC">
          <w:rPr>
            <w:noProof/>
            <w:webHidden/>
          </w:rPr>
        </w:r>
        <w:r w:rsidR="009F30BC">
          <w:rPr>
            <w:noProof/>
            <w:webHidden/>
          </w:rPr>
          <w:fldChar w:fldCharType="separate"/>
        </w:r>
        <w:r w:rsidR="009F30BC">
          <w:rPr>
            <w:noProof/>
            <w:webHidden/>
          </w:rPr>
          <w:t>4</w:t>
        </w:r>
        <w:r w:rsidR="009F30BC">
          <w:rPr>
            <w:noProof/>
            <w:webHidden/>
          </w:rPr>
          <w:fldChar w:fldCharType="end"/>
        </w:r>
      </w:hyperlink>
    </w:p>
    <w:p w14:paraId="636B8155" w14:textId="31D3DC3D" w:rsidR="009F30BC" w:rsidRDefault="009F30BC">
      <w:pPr>
        <w:pStyle w:val="Inhopg1"/>
        <w:tabs>
          <w:tab w:val="left" w:pos="540"/>
          <w:tab w:val="right" w:pos="6821"/>
        </w:tabs>
        <w:rPr>
          <w:rFonts w:eastAsiaTheme="minorEastAsia" w:cstheme="minorBidi"/>
          <w:bCs w:val="0"/>
          <w:caps w:val="0"/>
          <w:noProof/>
          <w:sz w:val="22"/>
          <w:szCs w:val="22"/>
        </w:rPr>
      </w:pPr>
      <w:hyperlink w:anchor="_Toc39233676" w:history="1">
        <w:r w:rsidRPr="00EE03D7">
          <w:rPr>
            <w:rStyle w:val="Hyperlink"/>
            <w:noProof/>
          </w:rPr>
          <w:t>1.</w:t>
        </w:r>
        <w:r>
          <w:rPr>
            <w:rFonts w:eastAsiaTheme="minorEastAsia" w:cstheme="minorBidi"/>
            <w:bCs w:val="0"/>
            <w:caps w:val="0"/>
            <w:noProof/>
            <w:sz w:val="22"/>
            <w:szCs w:val="22"/>
          </w:rPr>
          <w:tab/>
        </w:r>
        <w:r w:rsidRPr="00EE03D7">
          <w:rPr>
            <w:rStyle w:val="Hyperlink"/>
            <w:noProof/>
          </w:rPr>
          <w:t>Beschrijving van het registratiedomein</w:t>
        </w:r>
        <w:r>
          <w:rPr>
            <w:noProof/>
            <w:webHidden/>
          </w:rPr>
          <w:tab/>
        </w:r>
        <w:r>
          <w:rPr>
            <w:noProof/>
            <w:webHidden/>
          </w:rPr>
          <w:fldChar w:fldCharType="begin"/>
        </w:r>
        <w:r>
          <w:rPr>
            <w:noProof/>
            <w:webHidden/>
          </w:rPr>
          <w:instrText xml:space="preserve"> PAGEREF _Toc39233676 \h </w:instrText>
        </w:r>
        <w:r>
          <w:rPr>
            <w:noProof/>
            <w:webHidden/>
          </w:rPr>
        </w:r>
        <w:r>
          <w:rPr>
            <w:noProof/>
            <w:webHidden/>
          </w:rPr>
          <w:fldChar w:fldCharType="separate"/>
        </w:r>
        <w:r>
          <w:rPr>
            <w:noProof/>
            <w:webHidden/>
          </w:rPr>
          <w:t>5</w:t>
        </w:r>
        <w:r>
          <w:rPr>
            <w:noProof/>
            <w:webHidden/>
          </w:rPr>
          <w:fldChar w:fldCharType="end"/>
        </w:r>
      </w:hyperlink>
    </w:p>
    <w:p w14:paraId="2E4D8DF2" w14:textId="4F35B26E" w:rsidR="009F30BC" w:rsidRDefault="009F30BC">
      <w:pPr>
        <w:pStyle w:val="Inhopg1"/>
        <w:tabs>
          <w:tab w:val="left" w:pos="540"/>
          <w:tab w:val="right" w:pos="6821"/>
        </w:tabs>
        <w:rPr>
          <w:rFonts w:eastAsiaTheme="minorEastAsia" w:cstheme="minorBidi"/>
          <w:bCs w:val="0"/>
          <w:caps w:val="0"/>
          <w:noProof/>
          <w:sz w:val="22"/>
          <w:szCs w:val="22"/>
        </w:rPr>
      </w:pPr>
      <w:hyperlink w:anchor="_Toc39233677" w:history="1">
        <w:r w:rsidRPr="00EE03D7">
          <w:rPr>
            <w:rStyle w:val="Hyperlink"/>
            <w:noProof/>
          </w:rPr>
          <w:t>2.</w:t>
        </w:r>
        <w:r>
          <w:rPr>
            <w:rFonts w:eastAsiaTheme="minorEastAsia" w:cstheme="minorBidi"/>
            <w:bCs w:val="0"/>
            <w:caps w:val="0"/>
            <w:noProof/>
            <w:sz w:val="22"/>
            <w:szCs w:val="22"/>
          </w:rPr>
          <w:tab/>
        </w:r>
        <w:r w:rsidRPr="00EE03D7">
          <w:rPr>
            <w:rStyle w:val="Hyperlink"/>
            <w:noProof/>
          </w:rPr>
          <w:t>Het (keten)werkproces waarin gegevens van RO’s binnen het registratiedomein  worden geproduceerd</w:t>
        </w:r>
        <w:r>
          <w:rPr>
            <w:noProof/>
            <w:webHidden/>
          </w:rPr>
          <w:tab/>
        </w:r>
        <w:r>
          <w:rPr>
            <w:noProof/>
            <w:webHidden/>
          </w:rPr>
          <w:fldChar w:fldCharType="begin"/>
        </w:r>
        <w:r>
          <w:rPr>
            <w:noProof/>
            <w:webHidden/>
          </w:rPr>
          <w:instrText xml:space="preserve"> PAGEREF _Toc39233677 \h </w:instrText>
        </w:r>
        <w:r>
          <w:rPr>
            <w:noProof/>
            <w:webHidden/>
          </w:rPr>
        </w:r>
        <w:r>
          <w:rPr>
            <w:noProof/>
            <w:webHidden/>
          </w:rPr>
          <w:fldChar w:fldCharType="separate"/>
        </w:r>
        <w:r>
          <w:rPr>
            <w:noProof/>
            <w:webHidden/>
          </w:rPr>
          <w:t>7</w:t>
        </w:r>
        <w:r>
          <w:rPr>
            <w:noProof/>
            <w:webHidden/>
          </w:rPr>
          <w:fldChar w:fldCharType="end"/>
        </w:r>
      </w:hyperlink>
    </w:p>
    <w:p w14:paraId="704B3E40" w14:textId="1CDEFECE" w:rsidR="009F30BC" w:rsidRDefault="009F30BC">
      <w:pPr>
        <w:pStyle w:val="Inhopg1"/>
        <w:tabs>
          <w:tab w:val="left" w:pos="540"/>
          <w:tab w:val="right" w:pos="6821"/>
        </w:tabs>
        <w:rPr>
          <w:rFonts w:eastAsiaTheme="minorEastAsia" w:cstheme="minorBidi"/>
          <w:bCs w:val="0"/>
          <w:caps w:val="0"/>
          <w:noProof/>
          <w:sz w:val="22"/>
          <w:szCs w:val="22"/>
        </w:rPr>
      </w:pPr>
      <w:hyperlink w:anchor="_Toc39233678" w:history="1">
        <w:r w:rsidRPr="00EE03D7">
          <w:rPr>
            <w:rStyle w:val="Hyperlink"/>
            <w:noProof/>
          </w:rPr>
          <w:t>3.</w:t>
        </w:r>
        <w:r>
          <w:rPr>
            <w:rFonts w:eastAsiaTheme="minorEastAsia" w:cstheme="minorBidi"/>
            <w:bCs w:val="0"/>
            <w:caps w:val="0"/>
            <w:noProof/>
            <w:sz w:val="22"/>
            <w:szCs w:val="22"/>
          </w:rPr>
          <w:tab/>
        </w:r>
        <w:r w:rsidRPr="00EE03D7">
          <w:rPr>
            <w:rStyle w:val="Hyperlink"/>
            <w:noProof/>
          </w:rPr>
          <w:t>Stakeholders</w:t>
        </w:r>
        <w:r>
          <w:rPr>
            <w:noProof/>
            <w:webHidden/>
          </w:rPr>
          <w:tab/>
        </w:r>
        <w:r>
          <w:rPr>
            <w:noProof/>
            <w:webHidden/>
          </w:rPr>
          <w:fldChar w:fldCharType="begin"/>
        </w:r>
        <w:r>
          <w:rPr>
            <w:noProof/>
            <w:webHidden/>
          </w:rPr>
          <w:instrText xml:space="preserve"> PAGEREF _Toc39233678 \h </w:instrText>
        </w:r>
        <w:r>
          <w:rPr>
            <w:noProof/>
            <w:webHidden/>
          </w:rPr>
        </w:r>
        <w:r>
          <w:rPr>
            <w:noProof/>
            <w:webHidden/>
          </w:rPr>
          <w:fldChar w:fldCharType="separate"/>
        </w:r>
        <w:r>
          <w:rPr>
            <w:noProof/>
            <w:webHidden/>
          </w:rPr>
          <w:t>9</w:t>
        </w:r>
        <w:r>
          <w:rPr>
            <w:noProof/>
            <w:webHidden/>
          </w:rPr>
          <w:fldChar w:fldCharType="end"/>
        </w:r>
      </w:hyperlink>
    </w:p>
    <w:p w14:paraId="11A00614" w14:textId="5C7C6945" w:rsidR="009F30BC" w:rsidRDefault="009F30BC">
      <w:pPr>
        <w:pStyle w:val="Inhopg1"/>
        <w:tabs>
          <w:tab w:val="left" w:pos="540"/>
          <w:tab w:val="right" w:pos="6821"/>
        </w:tabs>
        <w:rPr>
          <w:rFonts w:eastAsiaTheme="minorEastAsia" w:cstheme="minorBidi"/>
          <w:bCs w:val="0"/>
          <w:caps w:val="0"/>
          <w:noProof/>
          <w:sz w:val="22"/>
          <w:szCs w:val="22"/>
        </w:rPr>
      </w:pPr>
      <w:hyperlink w:anchor="_Toc39233679" w:history="1">
        <w:r w:rsidRPr="00EE03D7">
          <w:rPr>
            <w:rStyle w:val="Hyperlink"/>
            <w:noProof/>
          </w:rPr>
          <w:t>4.</w:t>
        </w:r>
        <w:r>
          <w:rPr>
            <w:rFonts w:eastAsiaTheme="minorEastAsia" w:cstheme="minorBidi"/>
            <w:bCs w:val="0"/>
            <w:caps w:val="0"/>
            <w:noProof/>
            <w:sz w:val="22"/>
            <w:szCs w:val="22"/>
          </w:rPr>
          <w:tab/>
        </w:r>
        <w:r w:rsidRPr="00EE03D7">
          <w:rPr>
            <w:rStyle w:val="Hyperlink"/>
            <w:noProof/>
          </w:rPr>
          <w:t>Bestaande softwaresystemen</w:t>
        </w:r>
        <w:r>
          <w:rPr>
            <w:noProof/>
            <w:webHidden/>
          </w:rPr>
          <w:tab/>
        </w:r>
        <w:r>
          <w:rPr>
            <w:noProof/>
            <w:webHidden/>
          </w:rPr>
          <w:fldChar w:fldCharType="begin"/>
        </w:r>
        <w:r>
          <w:rPr>
            <w:noProof/>
            <w:webHidden/>
          </w:rPr>
          <w:instrText xml:space="preserve"> PAGEREF _Toc39233679 \h </w:instrText>
        </w:r>
        <w:r>
          <w:rPr>
            <w:noProof/>
            <w:webHidden/>
          </w:rPr>
        </w:r>
        <w:r>
          <w:rPr>
            <w:noProof/>
            <w:webHidden/>
          </w:rPr>
          <w:fldChar w:fldCharType="separate"/>
        </w:r>
        <w:r>
          <w:rPr>
            <w:noProof/>
            <w:webHidden/>
          </w:rPr>
          <w:t>12</w:t>
        </w:r>
        <w:r>
          <w:rPr>
            <w:noProof/>
            <w:webHidden/>
          </w:rPr>
          <w:fldChar w:fldCharType="end"/>
        </w:r>
      </w:hyperlink>
    </w:p>
    <w:p w14:paraId="4315E53D" w14:textId="318CDACA" w:rsidR="009F30BC" w:rsidRDefault="009F30BC">
      <w:pPr>
        <w:pStyle w:val="Inhopg1"/>
        <w:tabs>
          <w:tab w:val="left" w:pos="540"/>
          <w:tab w:val="right" w:pos="6821"/>
        </w:tabs>
        <w:rPr>
          <w:rFonts w:eastAsiaTheme="minorEastAsia" w:cstheme="minorBidi"/>
          <w:bCs w:val="0"/>
          <w:caps w:val="0"/>
          <w:noProof/>
          <w:sz w:val="22"/>
          <w:szCs w:val="22"/>
        </w:rPr>
      </w:pPr>
      <w:hyperlink w:anchor="_Toc39233680" w:history="1">
        <w:r w:rsidRPr="00EE03D7">
          <w:rPr>
            <w:rStyle w:val="Hyperlink"/>
            <w:noProof/>
          </w:rPr>
          <w:t>5.</w:t>
        </w:r>
        <w:r>
          <w:rPr>
            <w:rFonts w:eastAsiaTheme="minorEastAsia" w:cstheme="minorBidi"/>
            <w:bCs w:val="0"/>
            <w:caps w:val="0"/>
            <w:noProof/>
            <w:sz w:val="22"/>
            <w:szCs w:val="22"/>
          </w:rPr>
          <w:tab/>
        </w:r>
        <w:r w:rsidRPr="00EE03D7">
          <w:rPr>
            <w:rStyle w:val="Hyperlink"/>
            <w:noProof/>
          </w:rPr>
          <w:t>Bestaande registraties</w:t>
        </w:r>
        <w:r>
          <w:rPr>
            <w:noProof/>
            <w:webHidden/>
          </w:rPr>
          <w:tab/>
        </w:r>
        <w:r>
          <w:rPr>
            <w:noProof/>
            <w:webHidden/>
          </w:rPr>
          <w:fldChar w:fldCharType="begin"/>
        </w:r>
        <w:r>
          <w:rPr>
            <w:noProof/>
            <w:webHidden/>
          </w:rPr>
          <w:instrText xml:space="preserve"> PAGEREF _Toc39233680 \h </w:instrText>
        </w:r>
        <w:r>
          <w:rPr>
            <w:noProof/>
            <w:webHidden/>
          </w:rPr>
        </w:r>
        <w:r>
          <w:rPr>
            <w:noProof/>
            <w:webHidden/>
          </w:rPr>
          <w:fldChar w:fldCharType="separate"/>
        </w:r>
        <w:r>
          <w:rPr>
            <w:noProof/>
            <w:webHidden/>
          </w:rPr>
          <w:t>13</w:t>
        </w:r>
        <w:r>
          <w:rPr>
            <w:noProof/>
            <w:webHidden/>
          </w:rPr>
          <w:fldChar w:fldCharType="end"/>
        </w:r>
      </w:hyperlink>
    </w:p>
    <w:p w14:paraId="3A0822F0" w14:textId="1C87907C" w:rsidR="009F30BC" w:rsidRDefault="009F30BC">
      <w:pPr>
        <w:pStyle w:val="Inhopg1"/>
        <w:tabs>
          <w:tab w:val="left" w:pos="540"/>
          <w:tab w:val="right" w:pos="6821"/>
        </w:tabs>
        <w:rPr>
          <w:rFonts w:eastAsiaTheme="minorEastAsia" w:cstheme="minorBidi"/>
          <w:bCs w:val="0"/>
          <w:caps w:val="0"/>
          <w:noProof/>
          <w:sz w:val="22"/>
          <w:szCs w:val="22"/>
        </w:rPr>
      </w:pPr>
      <w:hyperlink w:anchor="_Toc39233681" w:history="1">
        <w:r w:rsidRPr="00EE03D7">
          <w:rPr>
            <w:rStyle w:val="Hyperlink"/>
            <w:noProof/>
          </w:rPr>
          <w:t>6.</w:t>
        </w:r>
        <w:r>
          <w:rPr>
            <w:rFonts w:eastAsiaTheme="minorEastAsia" w:cstheme="minorBidi"/>
            <w:bCs w:val="0"/>
            <w:caps w:val="0"/>
            <w:noProof/>
            <w:sz w:val="22"/>
            <w:szCs w:val="22"/>
          </w:rPr>
          <w:tab/>
        </w:r>
        <w:r w:rsidRPr="00EE03D7">
          <w:rPr>
            <w:rStyle w:val="Hyperlink"/>
            <w:noProof/>
          </w:rPr>
          <w:t>Wettelijk kader en scopekeuzes</w:t>
        </w:r>
        <w:r>
          <w:rPr>
            <w:noProof/>
            <w:webHidden/>
          </w:rPr>
          <w:tab/>
        </w:r>
        <w:r>
          <w:rPr>
            <w:noProof/>
            <w:webHidden/>
          </w:rPr>
          <w:fldChar w:fldCharType="begin"/>
        </w:r>
        <w:r>
          <w:rPr>
            <w:noProof/>
            <w:webHidden/>
          </w:rPr>
          <w:instrText xml:space="preserve"> PAGEREF _Toc39233681 \h </w:instrText>
        </w:r>
        <w:r>
          <w:rPr>
            <w:noProof/>
            <w:webHidden/>
          </w:rPr>
        </w:r>
        <w:r>
          <w:rPr>
            <w:noProof/>
            <w:webHidden/>
          </w:rPr>
          <w:fldChar w:fldCharType="separate"/>
        </w:r>
        <w:r>
          <w:rPr>
            <w:noProof/>
            <w:webHidden/>
          </w:rPr>
          <w:t>15</w:t>
        </w:r>
        <w:r>
          <w:rPr>
            <w:noProof/>
            <w:webHidden/>
          </w:rPr>
          <w:fldChar w:fldCharType="end"/>
        </w:r>
      </w:hyperlink>
    </w:p>
    <w:p w14:paraId="6531197E" w14:textId="4BA83978" w:rsidR="009F30BC" w:rsidRDefault="009F30BC">
      <w:pPr>
        <w:pStyle w:val="Inhopg1"/>
        <w:tabs>
          <w:tab w:val="left" w:pos="540"/>
          <w:tab w:val="right" w:pos="6821"/>
        </w:tabs>
        <w:rPr>
          <w:rFonts w:eastAsiaTheme="minorEastAsia" w:cstheme="minorBidi"/>
          <w:bCs w:val="0"/>
          <w:caps w:val="0"/>
          <w:noProof/>
          <w:sz w:val="22"/>
          <w:szCs w:val="22"/>
        </w:rPr>
      </w:pPr>
      <w:hyperlink w:anchor="_Toc39233682" w:history="1">
        <w:r w:rsidRPr="00EE03D7">
          <w:rPr>
            <w:rStyle w:val="Hyperlink"/>
            <w:noProof/>
          </w:rPr>
          <w:t>7.</w:t>
        </w:r>
        <w:r>
          <w:rPr>
            <w:rFonts w:eastAsiaTheme="minorEastAsia" w:cstheme="minorBidi"/>
            <w:bCs w:val="0"/>
            <w:caps w:val="0"/>
            <w:noProof/>
            <w:sz w:val="22"/>
            <w:szCs w:val="22"/>
          </w:rPr>
          <w:tab/>
        </w:r>
        <w:r w:rsidRPr="00EE03D7">
          <w:rPr>
            <w:rStyle w:val="Hyperlink"/>
            <w:noProof/>
          </w:rPr>
          <w:t>Relevante standaarden</w:t>
        </w:r>
        <w:r>
          <w:rPr>
            <w:noProof/>
            <w:webHidden/>
          </w:rPr>
          <w:tab/>
        </w:r>
        <w:r>
          <w:rPr>
            <w:noProof/>
            <w:webHidden/>
          </w:rPr>
          <w:fldChar w:fldCharType="begin"/>
        </w:r>
        <w:r>
          <w:rPr>
            <w:noProof/>
            <w:webHidden/>
          </w:rPr>
          <w:instrText xml:space="preserve"> PAGEREF _Toc39233682 \h </w:instrText>
        </w:r>
        <w:r>
          <w:rPr>
            <w:noProof/>
            <w:webHidden/>
          </w:rPr>
        </w:r>
        <w:r>
          <w:rPr>
            <w:noProof/>
            <w:webHidden/>
          </w:rPr>
          <w:fldChar w:fldCharType="separate"/>
        </w:r>
        <w:r>
          <w:rPr>
            <w:noProof/>
            <w:webHidden/>
          </w:rPr>
          <w:t>21</w:t>
        </w:r>
        <w:r>
          <w:rPr>
            <w:noProof/>
            <w:webHidden/>
          </w:rPr>
          <w:fldChar w:fldCharType="end"/>
        </w:r>
      </w:hyperlink>
    </w:p>
    <w:p w14:paraId="27ABDB7B" w14:textId="3FF8E462" w:rsidR="009F30BC" w:rsidRDefault="009F30BC">
      <w:pPr>
        <w:pStyle w:val="Inhopg1"/>
        <w:tabs>
          <w:tab w:val="left" w:pos="540"/>
          <w:tab w:val="right" w:pos="6821"/>
        </w:tabs>
        <w:rPr>
          <w:rFonts w:eastAsiaTheme="minorEastAsia" w:cstheme="minorBidi"/>
          <w:bCs w:val="0"/>
          <w:caps w:val="0"/>
          <w:noProof/>
          <w:sz w:val="22"/>
          <w:szCs w:val="22"/>
        </w:rPr>
      </w:pPr>
      <w:hyperlink w:anchor="_Toc39233683" w:history="1">
        <w:r w:rsidRPr="00EE03D7">
          <w:rPr>
            <w:rStyle w:val="Hyperlink"/>
            <w:noProof/>
          </w:rPr>
          <w:t>8.</w:t>
        </w:r>
        <w:r>
          <w:rPr>
            <w:rFonts w:eastAsiaTheme="minorEastAsia" w:cstheme="minorBidi"/>
            <w:bCs w:val="0"/>
            <w:caps w:val="0"/>
            <w:noProof/>
            <w:sz w:val="22"/>
            <w:szCs w:val="22"/>
          </w:rPr>
          <w:tab/>
        </w:r>
        <w:r w:rsidRPr="00EE03D7">
          <w:rPr>
            <w:rStyle w:val="Hyperlink"/>
            <w:noProof/>
          </w:rPr>
          <w:t>Relevante documentatie</w:t>
        </w:r>
        <w:r>
          <w:rPr>
            <w:noProof/>
            <w:webHidden/>
          </w:rPr>
          <w:tab/>
        </w:r>
        <w:r>
          <w:rPr>
            <w:noProof/>
            <w:webHidden/>
          </w:rPr>
          <w:fldChar w:fldCharType="begin"/>
        </w:r>
        <w:r>
          <w:rPr>
            <w:noProof/>
            <w:webHidden/>
          </w:rPr>
          <w:instrText xml:space="preserve"> PAGEREF _Toc39233683 \h </w:instrText>
        </w:r>
        <w:r>
          <w:rPr>
            <w:noProof/>
            <w:webHidden/>
          </w:rPr>
        </w:r>
        <w:r>
          <w:rPr>
            <w:noProof/>
            <w:webHidden/>
          </w:rPr>
          <w:fldChar w:fldCharType="separate"/>
        </w:r>
        <w:r>
          <w:rPr>
            <w:noProof/>
            <w:webHidden/>
          </w:rPr>
          <w:t>23</w:t>
        </w:r>
        <w:r>
          <w:rPr>
            <w:noProof/>
            <w:webHidden/>
          </w:rPr>
          <w:fldChar w:fldCharType="end"/>
        </w:r>
      </w:hyperlink>
    </w:p>
    <w:p w14:paraId="070FB5F5" w14:textId="36E6E313" w:rsidR="009F30BC" w:rsidRDefault="009F30BC">
      <w:pPr>
        <w:pStyle w:val="Inhopg1"/>
        <w:tabs>
          <w:tab w:val="left" w:pos="540"/>
          <w:tab w:val="right" w:pos="6821"/>
        </w:tabs>
        <w:rPr>
          <w:rFonts w:eastAsiaTheme="minorEastAsia" w:cstheme="minorBidi"/>
          <w:bCs w:val="0"/>
          <w:caps w:val="0"/>
          <w:noProof/>
          <w:sz w:val="22"/>
          <w:szCs w:val="22"/>
        </w:rPr>
      </w:pPr>
      <w:hyperlink w:anchor="_Toc39233684" w:history="1">
        <w:r w:rsidRPr="00EE03D7">
          <w:rPr>
            <w:rStyle w:val="Hyperlink"/>
            <w:noProof/>
          </w:rPr>
          <w:t>9.</w:t>
        </w:r>
        <w:r>
          <w:rPr>
            <w:rFonts w:eastAsiaTheme="minorEastAsia" w:cstheme="minorBidi"/>
            <w:bCs w:val="0"/>
            <w:caps w:val="0"/>
            <w:noProof/>
            <w:sz w:val="22"/>
            <w:szCs w:val="22"/>
          </w:rPr>
          <w:tab/>
        </w:r>
        <w:r w:rsidRPr="00EE03D7">
          <w:rPr>
            <w:rStyle w:val="Hyperlink"/>
            <w:noProof/>
          </w:rPr>
          <w:t>Inhoudelijke keuzes op hoofdlijnen</w:t>
        </w:r>
        <w:r>
          <w:rPr>
            <w:noProof/>
            <w:webHidden/>
          </w:rPr>
          <w:tab/>
        </w:r>
        <w:r>
          <w:rPr>
            <w:noProof/>
            <w:webHidden/>
          </w:rPr>
          <w:fldChar w:fldCharType="begin"/>
        </w:r>
        <w:r>
          <w:rPr>
            <w:noProof/>
            <w:webHidden/>
          </w:rPr>
          <w:instrText xml:space="preserve"> PAGEREF _Toc39233684 \h </w:instrText>
        </w:r>
        <w:r>
          <w:rPr>
            <w:noProof/>
            <w:webHidden/>
          </w:rPr>
        </w:r>
        <w:r>
          <w:rPr>
            <w:noProof/>
            <w:webHidden/>
          </w:rPr>
          <w:fldChar w:fldCharType="separate"/>
        </w:r>
        <w:r>
          <w:rPr>
            <w:noProof/>
            <w:webHidden/>
          </w:rPr>
          <w:t>24</w:t>
        </w:r>
        <w:r>
          <w:rPr>
            <w:noProof/>
            <w:webHidden/>
          </w:rPr>
          <w:fldChar w:fldCharType="end"/>
        </w:r>
      </w:hyperlink>
    </w:p>
    <w:p w14:paraId="00C43B4B" w14:textId="0DB9FC37" w:rsidR="009F30BC" w:rsidRDefault="009F30BC">
      <w:pPr>
        <w:pStyle w:val="Inhopg1"/>
        <w:tabs>
          <w:tab w:val="left" w:pos="540"/>
          <w:tab w:val="right" w:pos="6821"/>
        </w:tabs>
        <w:rPr>
          <w:rFonts w:eastAsiaTheme="minorEastAsia" w:cstheme="minorBidi"/>
          <w:bCs w:val="0"/>
          <w:caps w:val="0"/>
          <w:noProof/>
          <w:sz w:val="22"/>
          <w:szCs w:val="22"/>
        </w:rPr>
      </w:pPr>
      <w:hyperlink w:anchor="_Toc39233685" w:history="1">
        <w:r w:rsidRPr="00EE03D7">
          <w:rPr>
            <w:rStyle w:val="Hyperlink"/>
            <w:noProof/>
          </w:rPr>
          <w:t>10.</w:t>
        </w:r>
        <w:r>
          <w:rPr>
            <w:rFonts w:eastAsiaTheme="minorEastAsia" w:cstheme="minorBidi"/>
            <w:bCs w:val="0"/>
            <w:caps w:val="0"/>
            <w:noProof/>
            <w:sz w:val="22"/>
            <w:szCs w:val="22"/>
          </w:rPr>
          <w:tab/>
        </w:r>
        <w:r w:rsidRPr="00EE03D7">
          <w:rPr>
            <w:rStyle w:val="Hyperlink"/>
            <w:noProof/>
          </w:rPr>
          <w:t>Aanpak en langetermijnplanning</w:t>
        </w:r>
        <w:r>
          <w:rPr>
            <w:noProof/>
            <w:webHidden/>
          </w:rPr>
          <w:tab/>
        </w:r>
        <w:r>
          <w:rPr>
            <w:noProof/>
            <w:webHidden/>
          </w:rPr>
          <w:fldChar w:fldCharType="begin"/>
        </w:r>
        <w:r>
          <w:rPr>
            <w:noProof/>
            <w:webHidden/>
          </w:rPr>
          <w:instrText xml:space="preserve"> PAGEREF _Toc39233685 \h </w:instrText>
        </w:r>
        <w:r>
          <w:rPr>
            <w:noProof/>
            <w:webHidden/>
          </w:rPr>
        </w:r>
        <w:r>
          <w:rPr>
            <w:noProof/>
            <w:webHidden/>
          </w:rPr>
          <w:fldChar w:fldCharType="separate"/>
        </w:r>
        <w:r>
          <w:rPr>
            <w:noProof/>
            <w:webHidden/>
          </w:rPr>
          <w:t>29</w:t>
        </w:r>
        <w:r>
          <w:rPr>
            <w:noProof/>
            <w:webHidden/>
          </w:rPr>
          <w:fldChar w:fldCharType="end"/>
        </w:r>
      </w:hyperlink>
    </w:p>
    <w:p w14:paraId="03236412" w14:textId="746F2037" w:rsidR="009F30BC" w:rsidRDefault="009F30BC">
      <w:pPr>
        <w:pStyle w:val="Inhopg1"/>
        <w:tabs>
          <w:tab w:val="right" w:pos="6821"/>
        </w:tabs>
        <w:rPr>
          <w:rFonts w:eastAsiaTheme="minorEastAsia" w:cstheme="minorBidi"/>
          <w:bCs w:val="0"/>
          <w:caps w:val="0"/>
          <w:noProof/>
          <w:sz w:val="22"/>
          <w:szCs w:val="22"/>
        </w:rPr>
      </w:pPr>
      <w:hyperlink w:anchor="_Toc39233686" w:history="1">
        <w:r w:rsidRPr="00EE03D7">
          <w:rPr>
            <w:rStyle w:val="Hyperlink"/>
            <w:noProof/>
          </w:rPr>
          <w:t>Bijlage 1: Principes voor de mate van standaardisatie</w:t>
        </w:r>
        <w:r>
          <w:rPr>
            <w:noProof/>
            <w:webHidden/>
          </w:rPr>
          <w:tab/>
        </w:r>
        <w:r>
          <w:rPr>
            <w:noProof/>
            <w:webHidden/>
          </w:rPr>
          <w:fldChar w:fldCharType="begin"/>
        </w:r>
        <w:r>
          <w:rPr>
            <w:noProof/>
            <w:webHidden/>
          </w:rPr>
          <w:instrText xml:space="preserve"> PAGEREF _Toc39233686 \h </w:instrText>
        </w:r>
        <w:r>
          <w:rPr>
            <w:noProof/>
            <w:webHidden/>
          </w:rPr>
        </w:r>
        <w:r>
          <w:rPr>
            <w:noProof/>
            <w:webHidden/>
          </w:rPr>
          <w:fldChar w:fldCharType="separate"/>
        </w:r>
        <w:r>
          <w:rPr>
            <w:noProof/>
            <w:webHidden/>
          </w:rPr>
          <w:t>31</w:t>
        </w:r>
        <w:r>
          <w:rPr>
            <w:noProof/>
            <w:webHidden/>
          </w:rPr>
          <w:fldChar w:fldCharType="end"/>
        </w:r>
      </w:hyperlink>
    </w:p>
    <w:p w14:paraId="7FC2C660" w14:textId="5BD3BBFC" w:rsidR="009F30BC" w:rsidRDefault="009F30BC">
      <w:pPr>
        <w:pStyle w:val="Inhopg1"/>
        <w:tabs>
          <w:tab w:val="right" w:pos="6821"/>
        </w:tabs>
        <w:rPr>
          <w:rFonts w:eastAsiaTheme="minorEastAsia" w:cstheme="minorBidi"/>
          <w:bCs w:val="0"/>
          <w:caps w:val="0"/>
          <w:noProof/>
          <w:sz w:val="22"/>
          <w:szCs w:val="22"/>
        </w:rPr>
      </w:pPr>
      <w:hyperlink w:anchor="_Toc39233687" w:history="1">
        <w:r w:rsidRPr="00EE03D7">
          <w:rPr>
            <w:rStyle w:val="Hyperlink"/>
            <w:noProof/>
          </w:rPr>
          <w:t>Bijlage 2: Werkwijze beheer scopedocumenten</w:t>
        </w:r>
        <w:r>
          <w:rPr>
            <w:noProof/>
            <w:webHidden/>
          </w:rPr>
          <w:tab/>
        </w:r>
        <w:r>
          <w:rPr>
            <w:noProof/>
            <w:webHidden/>
          </w:rPr>
          <w:fldChar w:fldCharType="begin"/>
        </w:r>
        <w:r>
          <w:rPr>
            <w:noProof/>
            <w:webHidden/>
          </w:rPr>
          <w:instrText xml:space="preserve"> PAGEREF _Toc39233687 \h </w:instrText>
        </w:r>
        <w:r>
          <w:rPr>
            <w:noProof/>
            <w:webHidden/>
          </w:rPr>
        </w:r>
        <w:r>
          <w:rPr>
            <w:noProof/>
            <w:webHidden/>
          </w:rPr>
          <w:fldChar w:fldCharType="separate"/>
        </w:r>
        <w:r>
          <w:rPr>
            <w:noProof/>
            <w:webHidden/>
          </w:rPr>
          <w:t>33</w:t>
        </w:r>
        <w:r>
          <w:rPr>
            <w:noProof/>
            <w:webHidden/>
          </w:rPr>
          <w:fldChar w:fldCharType="end"/>
        </w:r>
      </w:hyperlink>
    </w:p>
    <w:p w14:paraId="6E415348" w14:textId="389D1210" w:rsidR="009F30BC" w:rsidRDefault="009F30BC">
      <w:pPr>
        <w:pStyle w:val="Inhopg1"/>
        <w:tabs>
          <w:tab w:val="right" w:pos="6821"/>
        </w:tabs>
        <w:rPr>
          <w:rFonts w:eastAsiaTheme="minorEastAsia" w:cstheme="minorBidi"/>
          <w:bCs w:val="0"/>
          <w:caps w:val="0"/>
          <w:noProof/>
          <w:sz w:val="22"/>
          <w:szCs w:val="22"/>
        </w:rPr>
      </w:pPr>
      <w:hyperlink w:anchor="_Toc39233688" w:history="1">
        <w:r w:rsidRPr="00EE03D7">
          <w:rPr>
            <w:rStyle w:val="Hyperlink"/>
            <w:noProof/>
          </w:rPr>
          <w:t>Bijlage 3: Keuzeleidraad INSPIRE</w:t>
        </w:r>
        <w:r>
          <w:rPr>
            <w:noProof/>
            <w:webHidden/>
          </w:rPr>
          <w:tab/>
        </w:r>
        <w:r>
          <w:rPr>
            <w:noProof/>
            <w:webHidden/>
          </w:rPr>
          <w:fldChar w:fldCharType="begin"/>
        </w:r>
        <w:r>
          <w:rPr>
            <w:noProof/>
            <w:webHidden/>
          </w:rPr>
          <w:instrText xml:space="preserve"> PAGEREF _Toc39233688 \h </w:instrText>
        </w:r>
        <w:r>
          <w:rPr>
            <w:noProof/>
            <w:webHidden/>
          </w:rPr>
        </w:r>
        <w:r>
          <w:rPr>
            <w:noProof/>
            <w:webHidden/>
          </w:rPr>
          <w:fldChar w:fldCharType="separate"/>
        </w:r>
        <w:r>
          <w:rPr>
            <w:noProof/>
            <w:webHidden/>
          </w:rPr>
          <w:t>34</w:t>
        </w:r>
        <w:r>
          <w:rPr>
            <w:noProof/>
            <w:webHidden/>
          </w:rPr>
          <w:fldChar w:fldCharType="end"/>
        </w:r>
      </w:hyperlink>
    </w:p>
    <w:p w14:paraId="405EB8FB" w14:textId="6095E813" w:rsidR="000128D9" w:rsidRPr="000128D9" w:rsidRDefault="00ED3B1C" w:rsidP="000128D9">
      <w:r w:rsidRPr="004F18C2">
        <w:rPr>
          <w:rFonts w:cstheme="minorHAnsi"/>
          <w:bCs/>
          <w:caps/>
          <w:color w:val="auto"/>
          <w:sz w:val="20"/>
          <w:szCs w:val="20"/>
        </w:rPr>
        <w:fldChar w:fldCharType="end"/>
      </w:r>
    </w:p>
    <w:p w14:paraId="7B8182A5" w14:textId="05CD1E43" w:rsidR="007B404D" w:rsidRDefault="007B404D" w:rsidP="00614D85">
      <w:pPr>
        <w:spacing w:line="276" w:lineRule="auto"/>
        <w:ind w:left="1134" w:hanging="1134"/>
      </w:pPr>
    </w:p>
    <w:p w14:paraId="290EB460" w14:textId="3D95F37E" w:rsidR="000128D9" w:rsidRDefault="000128D9" w:rsidP="00614D85">
      <w:pPr>
        <w:spacing w:line="276" w:lineRule="auto"/>
        <w:ind w:left="1134" w:hanging="1134"/>
      </w:pPr>
    </w:p>
    <w:p w14:paraId="3CAB0FE0" w14:textId="7E2F0F67" w:rsidR="000128D9" w:rsidRDefault="000128D9" w:rsidP="00614D85">
      <w:pPr>
        <w:spacing w:line="276" w:lineRule="auto"/>
        <w:ind w:left="1134" w:hanging="1134"/>
      </w:pPr>
    </w:p>
    <w:p w14:paraId="327DE7EE" w14:textId="77777777" w:rsidR="002A40EF" w:rsidRDefault="002A40EF" w:rsidP="00383D29">
      <w:pPr>
        <w:spacing w:line="276" w:lineRule="auto"/>
      </w:pPr>
    </w:p>
    <w:p w14:paraId="23377632" w14:textId="77777777" w:rsidR="002A40EF" w:rsidRDefault="002A40EF" w:rsidP="00383D29">
      <w:pPr>
        <w:spacing w:line="276" w:lineRule="auto"/>
      </w:pPr>
    </w:p>
    <w:p w14:paraId="21BE22C0" w14:textId="77777777" w:rsidR="002A40EF" w:rsidRDefault="002A40EF" w:rsidP="00614D85">
      <w:pPr>
        <w:spacing w:line="276" w:lineRule="auto"/>
        <w:ind w:left="1134" w:hanging="1134"/>
      </w:pPr>
    </w:p>
    <w:p w14:paraId="1647D746" w14:textId="77777777" w:rsidR="002A40EF" w:rsidRDefault="002A40EF" w:rsidP="00383D29">
      <w:pPr>
        <w:spacing w:line="276" w:lineRule="auto"/>
      </w:pPr>
    </w:p>
    <w:p w14:paraId="5D1A62C2" w14:textId="77777777" w:rsidR="007B404D" w:rsidRDefault="008A12F1" w:rsidP="00B61F93">
      <w:pPr>
        <w:spacing w:line="276" w:lineRule="auto"/>
        <w:ind w:left="1134" w:hanging="1134"/>
      </w:pPr>
      <w:r>
        <w:br w:type="page"/>
      </w:r>
    </w:p>
    <w:p w14:paraId="584B8D82" w14:textId="77777777" w:rsidR="007B404D" w:rsidRPr="001808A7" w:rsidRDefault="002A40EF" w:rsidP="001808A7">
      <w:pPr>
        <w:pStyle w:val="Kop1"/>
      </w:pPr>
      <w:bookmarkStart w:id="1" w:name="_Toc39233675"/>
      <w:r w:rsidRPr="001808A7">
        <w:lastRenderedPageBreak/>
        <w:t>Proclaimer</w:t>
      </w:r>
      <w:bookmarkEnd w:id="1"/>
    </w:p>
    <w:p w14:paraId="112184FA" w14:textId="54869836" w:rsidR="002A40EF" w:rsidRDefault="002A40EF" w:rsidP="00B06534">
      <w:pPr>
        <w:spacing w:line="276" w:lineRule="auto"/>
      </w:pPr>
      <w:r w:rsidRPr="00387488">
        <w:rPr>
          <w:b/>
          <w:bCs/>
        </w:rPr>
        <w:t xml:space="preserve">Dit scopedocument markeert het begin </w:t>
      </w:r>
      <w:r w:rsidRPr="00387488">
        <w:t>van de ontwikkeling van de BRO-standaard</w:t>
      </w:r>
      <w:r w:rsidR="007D2B38">
        <w:t xml:space="preserve">en van de registratieobjecten binnen </w:t>
      </w:r>
      <w:r w:rsidRPr="00387488">
        <w:t>het registratie</w:t>
      </w:r>
      <w:r w:rsidR="007D2B38">
        <w:t>domein Grondwatergebruik</w:t>
      </w:r>
      <w:r w:rsidRPr="00387488">
        <w:t xml:space="preserve">. </w:t>
      </w:r>
      <w:r w:rsidR="00387488" w:rsidRPr="00387488">
        <w:t>D</w:t>
      </w:r>
      <w:r w:rsidR="00387488">
        <w:t>oel van di</w:t>
      </w:r>
      <w:r w:rsidRPr="002A40EF">
        <w:t xml:space="preserve">t scopedocument </w:t>
      </w:r>
      <w:r w:rsidR="00387488">
        <w:t>is het informeren van</w:t>
      </w:r>
      <w:r w:rsidRPr="002A40EF">
        <w:t xml:space="preserve"> belanghebbenden over onder meer de </w:t>
      </w:r>
      <w:r w:rsidR="007D2B38">
        <w:t>inhoud van het registratiedomein</w:t>
      </w:r>
      <w:r w:rsidRPr="002A40EF">
        <w:t xml:space="preserve">, de relevante kaders zoals wetgeving en standaarden, en scoping en planning. </w:t>
      </w:r>
    </w:p>
    <w:p w14:paraId="4DF736A6" w14:textId="77777777" w:rsidR="00330856" w:rsidRPr="002A40EF" w:rsidRDefault="00330856" w:rsidP="00383D29">
      <w:pPr>
        <w:spacing w:line="276" w:lineRule="auto"/>
      </w:pPr>
    </w:p>
    <w:p w14:paraId="6BDA660F" w14:textId="325827A6" w:rsidR="00A572E3" w:rsidRDefault="00A572E3" w:rsidP="00383D29">
      <w:pPr>
        <w:spacing w:line="276" w:lineRule="auto"/>
      </w:pPr>
      <w:r w:rsidRPr="00A572E3">
        <w:t>Het scopedocument wordt opgesteld in overleg met de belanghebbende</w:t>
      </w:r>
      <w:r w:rsidR="00380ED7">
        <w:t xml:space="preserve">n en vervolgens </w:t>
      </w:r>
      <w:r w:rsidRPr="00A572E3">
        <w:t>besproken in de domeinbegeleidingsgroep (DBG) en de programmabegeleidingsgroep (PBG). Uiteindelijk stelt de programmastuurgroep BRO het scopedocument vast.</w:t>
      </w:r>
    </w:p>
    <w:p w14:paraId="348A47F5" w14:textId="77777777" w:rsidR="00A572E3" w:rsidRPr="002A40EF" w:rsidRDefault="00A572E3" w:rsidP="00383D29">
      <w:pPr>
        <w:spacing w:line="276" w:lineRule="auto"/>
      </w:pPr>
    </w:p>
    <w:p w14:paraId="243204FC" w14:textId="6EF64058" w:rsidR="002A40EF" w:rsidRDefault="002A40EF" w:rsidP="00383D29">
      <w:pPr>
        <w:spacing w:line="276" w:lineRule="auto"/>
      </w:pPr>
      <w:r w:rsidRPr="00387488">
        <w:rPr>
          <w:b/>
          <w:bCs/>
        </w:rPr>
        <w:t xml:space="preserve">De ontwikkeling van de BRO-standaard </w:t>
      </w:r>
      <w:r w:rsidRPr="00093C0F">
        <w:t xml:space="preserve">voor </w:t>
      </w:r>
      <w:r w:rsidR="00406B13">
        <w:t>de</w:t>
      </w:r>
      <w:r w:rsidRPr="00093C0F">
        <w:t xml:space="preserve"> registratieobject</w:t>
      </w:r>
      <w:r w:rsidR="00406B13">
        <w:t>en binnen dit registratiedomein</w:t>
      </w:r>
      <w:r w:rsidRPr="00387488">
        <w:rPr>
          <w:b/>
          <w:bCs/>
        </w:rPr>
        <w:t xml:space="preserve"> </w:t>
      </w:r>
      <w:r w:rsidRPr="00387488">
        <w:t>vraagt mogelijk om keuze</w:t>
      </w:r>
      <w:r w:rsidR="00387488" w:rsidRPr="00387488">
        <w:t>s</w:t>
      </w:r>
      <w:r w:rsidRPr="00387488">
        <w:t xml:space="preserve"> die afwijken van </w:t>
      </w:r>
      <w:r w:rsidR="00387488" w:rsidRPr="00387488">
        <w:t>datgene wat</w:t>
      </w:r>
      <w:r w:rsidRPr="00387488">
        <w:t xml:space="preserve"> in dit scopedocument staat </w:t>
      </w:r>
      <w:r w:rsidR="00387488" w:rsidRPr="00387488">
        <w:t>beschreven</w:t>
      </w:r>
      <w:r w:rsidRPr="00387488">
        <w:t>.</w:t>
      </w:r>
      <w:r w:rsidRPr="002A40EF">
        <w:t xml:space="preserve"> Dit is inherent aan de gekozen werkwijze (</w:t>
      </w:r>
      <w:r w:rsidR="009F50A9">
        <w:t>A</w:t>
      </w:r>
      <w:r w:rsidRPr="002A40EF">
        <w:t>gile/</w:t>
      </w:r>
      <w:r w:rsidR="009F50A9">
        <w:t>S</w:t>
      </w:r>
      <w:r w:rsidRPr="002A40EF">
        <w:t xml:space="preserve">crum) én aan standaardiseren </w:t>
      </w:r>
      <w:r w:rsidR="00387488">
        <w:t>in het algemeen</w:t>
      </w:r>
      <w:r w:rsidRPr="002A40EF">
        <w:t>. Voortschrijdend inzicht vraag</w:t>
      </w:r>
      <w:r w:rsidR="00387488">
        <w:t>t</w:t>
      </w:r>
      <w:r w:rsidRPr="002A40EF">
        <w:t xml:space="preserve"> om nieuwe keuze</w:t>
      </w:r>
      <w:r w:rsidR="00387488">
        <w:t>s</w:t>
      </w:r>
      <w:r w:rsidRPr="002A40EF">
        <w:t xml:space="preserve"> om binnen de beperkingen van tijd en geld tot een levensvatbare standaard te komen. Mocht het om fundamentele bijsturingen gaan ten opzichte van dit scopedocument</w:t>
      </w:r>
      <w:r w:rsidR="00387488">
        <w:t>,</w:t>
      </w:r>
      <w:r w:rsidRPr="002A40EF">
        <w:t xml:space="preserve"> dan </w:t>
      </w:r>
      <w:r w:rsidR="00387488">
        <w:t>worden</w:t>
      </w:r>
      <w:r w:rsidRPr="002A40EF">
        <w:t xml:space="preserve"> deze voorgelegd aan de programmastuurgroep. Voor het overige wordt bijsturen gezien als onderdeel van de reguliere standaardiseringswerkzaamheden. </w:t>
      </w:r>
    </w:p>
    <w:p w14:paraId="2DF609AB" w14:textId="05B7B4A8" w:rsidR="002A40EF" w:rsidRDefault="002A40EF" w:rsidP="00383D29">
      <w:pPr>
        <w:spacing w:line="276" w:lineRule="auto"/>
      </w:pPr>
    </w:p>
    <w:p w14:paraId="739A53F0" w14:textId="6A181BD9" w:rsidR="00387488" w:rsidRDefault="00387488" w:rsidP="00383D29">
      <w:pPr>
        <w:spacing w:line="276" w:lineRule="auto"/>
      </w:pPr>
      <w:r w:rsidRPr="00387488">
        <w:t xml:space="preserve">Bij de ontwikkeling van de BRO-standaard hanteert het team standaardisatie een aantal principes voor de mate van standaardisatie. Deze principes vindt u </w:t>
      </w:r>
      <w:hyperlink w:anchor="_Bijlage_1:_Principes" w:history="1">
        <w:r w:rsidRPr="00380ED7">
          <w:rPr>
            <w:rStyle w:val="Hyperlink"/>
          </w:rPr>
          <w:t>in bijlage 1</w:t>
        </w:r>
      </w:hyperlink>
      <w:r w:rsidRPr="00387488">
        <w:t xml:space="preserve">. Voor het beheer van alle scopedocumenten geldt een uniforme werkwijze. Die is vastgelegd </w:t>
      </w:r>
      <w:hyperlink w:anchor="_Bijlage_2:_Werkwijze" w:history="1">
        <w:r w:rsidRPr="00380ED7">
          <w:rPr>
            <w:rStyle w:val="Hyperlink"/>
          </w:rPr>
          <w:t>in bijlage 2</w:t>
        </w:r>
      </w:hyperlink>
      <w:r w:rsidRPr="00387488">
        <w:t>.</w:t>
      </w:r>
    </w:p>
    <w:p w14:paraId="622F866B" w14:textId="77777777" w:rsidR="00387488" w:rsidRPr="002A40EF" w:rsidRDefault="00387488" w:rsidP="00383D29">
      <w:pPr>
        <w:spacing w:line="276" w:lineRule="auto"/>
      </w:pPr>
    </w:p>
    <w:p w14:paraId="52DDC1F5" w14:textId="5CB99880" w:rsidR="007B404D" w:rsidRDefault="002A40EF" w:rsidP="00383D29">
      <w:pPr>
        <w:spacing w:line="276" w:lineRule="auto"/>
      </w:pPr>
      <w:r w:rsidRPr="00387488">
        <w:rPr>
          <w:b/>
          <w:bCs/>
        </w:rPr>
        <w:t>De uiteindelijke standaard</w:t>
      </w:r>
      <w:r w:rsidR="00406B13">
        <w:rPr>
          <w:b/>
          <w:bCs/>
        </w:rPr>
        <w:t>en van registratieobjecten binnen dit registratiedomein</w:t>
      </w:r>
      <w:r w:rsidRPr="00387488">
        <w:rPr>
          <w:b/>
          <w:bCs/>
        </w:rPr>
        <w:t xml:space="preserve"> </w:t>
      </w:r>
      <w:r w:rsidR="00406B13">
        <w:t>worden</w:t>
      </w:r>
      <w:r w:rsidRPr="00093C0F">
        <w:t xml:space="preserve"> opgesteld</w:t>
      </w:r>
      <w:r w:rsidRPr="002A40EF">
        <w:t xml:space="preserve"> in overleg met de belanghebbenden, besproken in de domeinbegeleidingsgroep </w:t>
      </w:r>
      <w:r w:rsidR="00D03139">
        <w:t xml:space="preserve">(DBG) </w:t>
      </w:r>
      <w:r w:rsidRPr="002A40EF">
        <w:t>en de programmabegeleidingsgroep</w:t>
      </w:r>
      <w:r w:rsidR="00D03139">
        <w:t xml:space="preserve"> (PBG)</w:t>
      </w:r>
      <w:r w:rsidRPr="002A40EF">
        <w:t>. Uiteindelijk stelt de programmastuurgroep BRO de standaard</w:t>
      </w:r>
      <w:r w:rsidR="00406B13">
        <w:t>en</w:t>
      </w:r>
      <w:r w:rsidRPr="002A40EF">
        <w:t xml:space="preserve"> vast. De definitieve keuze</w:t>
      </w:r>
      <w:r w:rsidR="00387488">
        <w:t>s</w:t>
      </w:r>
      <w:r w:rsidRPr="002A40EF">
        <w:t xml:space="preserve"> en mogelijke afwijkingen van het scopedocument zijn daarmee inzichtelijk voor alle belanghebbenden.</w:t>
      </w:r>
      <w:r w:rsidR="008A12F1" w:rsidRPr="002A40EF">
        <w:t> </w:t>
      </w:r>
    </w:p>
    <w:p w14:paraId="2066AFDE" w14:textId="77777777" w:rsidR="00D03139" w:rsidRDefault="00D03139" w:rsidP="00383D29">
      <w:pPr>
        <w:spacing w:line="276" w:lineRule="auto"/>
      </w:pPr>
    </w:p>
    <w:p w14:paraId="2260AE85" w14:textId="77777777" w:rsidR="00D03139" w:rsidRPr="00935EE9" w:rsidRDefault="00D03139" w:rsidP="00D03139">
      <w:pPr>
        <w:spacing w:line="276" w:lineRule="auto"/>
        <w:rPr>
          <w:highlight w:val="yellow"/>
        </w:rPr>
      </w:pPr>
    </w:p>
    <w:p w14:paraId="7E10DB00" w14:textId="77777777" w:rsidR="00D03139" w:rsidRDefault="00D03139" w:rsidP="00D03139">
      <w:pPr>
        <w:spacing w:line="276" w:lineRule="auto"/>
      </w:pPr>
    </w:p>
    <w:p w14:paraId="67AE9498" w14:textId="77777777" w:rsidR="00D03139" w:rsidRDefault="00D03139" w:rsidP="00D03139">
      <w:pPr>
        <w:spacing w:line="276" w:lineRule="auto"/>
      </w:pPr>
    </w:p>
    <w:p w14:paraId="2F878654" w14:textId="77777777" w:rsidR="00D03139" w:rsidRPr="002A40EF" w:rsidRDefault="00D03139" w:rsidP="00383D29">
      <w:pPr>
        <w:spacing w:line="276" w:lineRule="auto"/>
      </w:pPr>
    </w:p>
    <w:p w14:paraId="7D3908B2" w14:textId="29BA664C" w:rsidR="007B404D" w:rsidRDefault="007B404D" w:rsidP="00383D29">
      <w:pPr>
        <w:pStyle w:val="Paginaeinde"/>
        <w:spacing w:line="276" w:lineRule="auto"/>
      </w:pPr>
    </w:p>
    <w:p w14:paraId="100FA01C" w14:textId="1DCFC156" w:rsidR="007B404D" w:rsidRDefault="003039EA" w:rsidP="007E1F23">
      <w:pPr>
        <w:pStyle w:val="Kop1"/>
        <w:tabs>
          <w:tab w:val="left" w:pos="1134"/>
        </w:tabs>
        <w:ind w:left="1134" w:hanging="1134"/>
      </w:pPr>
      <w:bookmarkStart w:id="2" w:name="_1._Beschrijving_van"/>
      <w:bookmarkStart w:id="3" w:name="_Toc39233676"/>
      <w:bookmarkEnd w:id="2"/>
      <w:r>
        <w:t>1.</w:t>
      </w:r>
      <w:r>
        <w:tab/>
      </w:r>
      <w:r w:rsidR="007C01CF">
        <w:t xml:space="preserve">Beschrijving </w:t>
      </w:r>
      <w:r w:rsidR="00093C0F">
        <w:t xml:space="preserve">van het </w:t>
      </w:r>
      <w:r w:rsidR="007C01CF">
        <w:t>registratie</w:t>
      </w:r>
      <w:r w:rsidR="007D2B38">
        <w:t>domein</w:t>
      </w:r>
      <w:bookmarkEnd w:id="3"/>
    </w:p>
    <w:p w14:paraId="1A010EC9" w14:textId="77777777" w:rsidR="001E5633" w:rsidRPr="001E5633" w:rsidRDefault="001E5633" w:rsidP="001E5633">
      <w:pPr>
        <w:spacing w:line="276" w:lineRule="auto"/>
        <w:rPr>
          <w:rFonts w:cs="Verdana"/>
        </w:rPr>
      </w:pPr>
      <w:r w:rsidRPr="001E5633">
        <w:rPr>
          <w:rFonts w:cs="Verdana"/>
        </w:rPr>
        <w:t>Het gebruik van de belangrijke hulpbron grondwater is wettelijk geregeld. Het onttrekken van grondwater en het infiltreren ervan hebben direct invloed op de omvang van de voorraad grondwater. Voor deze vormen van gebruik is vandaag de dag een vergunning nodig onder de Waterwet. In een aantal gevallen met kleinere onttrekkingsvolumina volstaat een meldingsplicht.  In de toekomst gaat de Omgevingswet het wettelijk kader vormen voor deze vergunningen/meldingen.</w:t>
      </w:r>
    </w:p>
    <w:p w14:paraId="35A0ED84" w14:textId="77777777" w:rsidR="001E5633" w:rsidRPr="001E5633" w:rsidRDefault="001E5633" w:rsidP="001E5633">
      <w:pPr>
        <w:spacing w:line="276" w:lineRule="auto"/>
        <w:rPr>
          <w:rFonts w:cs="Verdana"/>
        </w:rPr>
      </w:pPr>
    </w:p>
    <w:p w14:paraId="79C4B924" w14:textId="77777777" w:rsidR="001E5633" w:rsidRPr="001E5633" w:rsidRDefault="001E5633" w:rsidP="001E5633">
      <w:pPr>
        <w:spacing w:line="276" w:lineRule="auto"/>
        <w:rPr>
          <w:rFonts w:cs="Verdana"/>
        </w:rPr>
      </w:pPr>
      <w:r w:rsidRPr="001E5633">
        <w:rPr>
          <w:rFonts w:cs="Verdana"/>
        </w:rPr>
        <w:t>Het domein Grondwatergebruik beslaat in de eerste plaats de gegevens van de onttrekkings- en infiltratieinrichtingen die onder de verleende vergunningen  en onder deze meldingen vallen.  </w:t>
      </w:r>
    </w:p>
    <w:p w14:paraId="0AFF9244" w14:textId="77777777" w:rsidR="001E5633" w:rsidRPr="001E5633" w:rsidRDefault="001E5633" w:rsidP="001E5633">
      <w:pPr>
        <w:spacing w:line="276" w:lineRule="auto"/>
        <w:rPr>
          <w:rFonts w:cs="Verdana"/>
        </w:rPr>
      </w:pPr>
    </w:p>
    <w:p w14:paraId="099AFBAB" w14:textId="77777777" w:rsidR="001E5633" w:rsidRPr="001E5633" w:rsidRDefault="001E5633" w:rsidP="001E5633">
      <w:pPr>
        <w:spacing w:line="276" w:lineRule="auto"/>
        <w:rPr>
          <w:rFonts w:cs="Verdana"/>
        </w:rPr>
      </w:pPr>
      <w:r w:rsidRPr="001E5633">
        <w:rPr>
          <w:rFonts w:cs="Verdana"/>
        </w:rPr>
        <w:t>Ook meer indirecte vormen van gebruik van de hulpbron grondwater vallen in dit domein. Meer specifiek wordt het gebruik van de warmtecapaciteit van het grondwater bedoeld voor de opslag van warmte en/of koude, oftewel bodemenergiesystemen Voor zover dat met zogenaamde “open bodemenergiesystemen” gebeurt wordt dat gebruik ook gedekt door de Waterwet. Voor het gebruik middels zogenaamde ”gesloten bodemenergiesystemen” geldt een meldingsplicht onder andere wettelijke kaders, te weten het Activiteitenbesluit (gebaseerd op Wet milieubeheer) of het Besluit lozen buiten inrichtingen. Ook hiervoor vormt de Omgevingswet in de toekomst het wettelijk kader. </w:t>
      </w:r>
    </w:p>
    <w:p w14:paraId="19B5951B" w14:textId="77777777" w:rsidR="001E5633" w:rsidRPr="001E5633" w:rsidRDefault="001E5633" w:rsidP="001E5633">
      <w:pPr>
        <w:spacing w:line="276" w:lineRule="auto"/>
        <w:rPr>
          <w:rFonts w:cs="Verdana"/>
        </w:rPr>
      </w:pPr>
    </w:p>
    <w:p w14:paraId="7DDAB0D6" w14:textId="6625F94F" w:rsidR="00406B13" w:rsidRDefault="001E5633" w:rsidP="001E5633">
      <w:pPr>
        <w:spacing w:line="276" w:lineRule="auto"/>
      </w:pPr>
      <w:r w:rsidRPr="001E5633">
        <w:rPr>
          <w:rFonts w:cs="Verdana"/>
        </w:rPr>
        <w:t>In Hoofdstuk 6 staat de uitwerking van deze wettelijke kaders en de gevolgen  van die kaders voor de scopebepaling van de verschillende soorten grondwatergebruikssystemen.</w:t>
      </w:r>
    </w:p>
    <w:p w14:paraId="6FC487AD" w14:textId="77777777" w:rsidR="004460FE" w:rsidRDefault="004460FE" w:rsidP="00EA3BDA">
      <w:pPr>
        <w:spacing w:line="276" w:lineRule="auto"/>
        <w:rPr>
          <w:b/>
        </w:rPr>
      </w:pPr>
    </w:p>
    <w:p w14:paraId="55ADC2D5" w14:textId="44F5FE27" w:rsidR="00EA3BDA" w:rsidRDefault="001E5633" w:rsidP="00EA3BDA">
      <w:pPr>
        <w:spacing w:line="276" w:lineRule="auto"/>
      </w:pPr>
      <w:r w:rsidRPr="001E5633">
        <w:rPr>
          <w:b/>
        </w:rPr>
        <w:t>Registratieobjecten in dit domein en hun onderlinge samenhang</w:t>
      </w:r>
    </w:p>
    <w:p w14:paraId="7913EBBC" w14:textId="77777777" w:rsidR="001E5633" w:rsidRDefault="001E5633" w:rsidP="001E5633">
      <w:pPr>
        <w:spacing w:line="276" w:lineRule="auto"/>
      </w:pPr>
    </w:p>
    <w:p w14:paraId="31688FEC" w14:textId="4582E39A" w:rsidR="001E5633" w:rsidRDefault="001E5633" w:rsidP="001E5633">
      <w:pPr>
        <w:spacing w:line="276" w:lineRule="auto"/>
      </w:pPr>
      <w:r>
        <w:t xml:space="preserve">Binnen dit domein worden twee registratieobjecten onderscheiden van het type “constructies” (wet BRO artikel 21) . Dit zijn het Grondwatergebruiksysteem (GUF - Ground water </w:t>
      </w:r>
      <w:r w:rsidR="00D45F19">
        <w:t>U</w:t>
      </w:r>
      <w:r>
        <w:t xml:space="preserve">sage </w:t>
      </w:r>
      <w:r w:rsidR="00D45F19">
        <w:t>F</w:t>
      </w:r>
      <w:r>
        <w:t>acility) en Grondwaterproductiedossier (GPD- Ground water Production Dossier)</w:t>
      </w:r>
    </w:p>
    <w:p w14:paraId="13663165" w14:textId="77777777" w:rsidR="001E5633" w:rsidRDefault="001E5633" w:rsidP="001E5633">
      <w:pPr>
        <w:spacing w:line="276" w:lineRule="auto"/>
      </w:pPr>
    </w:p>
    <w:p w14:paraId="5281AF4E" w14:textId="77777777" w:rsidR="001E5633" w:rsidRPr="001E5633" w:rsidRDefault="001E5633" w:rsidP="001E5633">
      <w:pPr>
        <w:spacing w:line="276" w:lineRule="auto"/>
        <w:rPr>
          <w:u w:val="single"/>
        </w:rPr>
      </w:pPr>
      <w:r w:rsidRPr="001E5633">
        <w:rPr>
          <w:u w:val="single"/>
        </w:rPr>
        <w:t>Grondwatergebruiksysteem</w:t>
      </w:r>
    </w:p>
    <w:p w14:paraId="2FB86AED" w14:textId="5C48E124" w:rsidR="001E5633" w:rsidRDefault="001E5633" w:rsidP="001E5633">
      <w:pPr>
        <w:spacing w:line="276" w:lineRule="auto"/>
      </w:pPr>
      <w:r>
        <w:t xml:space="preserve">Een grondwatergebruikssysteem is een systeem voor direct of indirect gebruik van het grondwater. Onder direct gebruik wordt verstaan het onttrekken van grondwater of het infiltreren van water in de ondergrond. Onder indirect gebruik valt het benutten van de warmtecapaciteit van het grondwater; een voor dat doel ingericht systeem heet een gesloten bodemenergiesysteem. Het registratieobject is een systeem waarvoor het bevoegd gezag een vergunning heeft verleend (en een beschikkimg) heeft afgegeven of die bij het bevoegd gezag formeel is aangemeld. Voor deze systemen dienen op grond van wettelijke verplichtingen (zie </w:t>
      </w:r>
      <w:r w:rsidR="00D45F19">
        <w:t>H</w:t>
      </w:r>
      <w:r>
        <w:t xml:space="preserve">.6) door systeemeigenaar (vergunningnemer / meldingsplichtige of zijn/haar </w:t>
      </w:r>
      <w:r>
        <w:lastRenderedPageBreak/>
        <w:t>adviseur) of een aantal systeembeschrijvende gegevens te worden aangeleverd aan bevoegd gezag.    </w:t>
      </w:r>
    </w:p>
    <w:p w14:paraId="50EAC44A" w14:textId="77777777" w:rsidR="001E5633" w:rsidRDefault="001E5633" w:rsidP="001E5633">
      <w:pPr>
        <w:spacing w:line="276" w:lineRule="auto"/>
      </w:pPr>
    </w:p>
    <w:p w14:paraId="59791B94" w14:textId="77777777" w:rsidR="001E5633" w:rsidRPr="001E5633" w:rsidRDefault="001E5633" w:rsidP="001E5633">
      <w:pPr>
        <w:spacing w:line="276" w:lineRule="auto"/>
        <w:rPr>
          <w:u w:val="single"/>
        </w:rPr>
      </w:pPr>
      <w:r w:rsidRPr="001E5633">
        <w:rPr>
          <w:u w:val="single"/>
        </w:rPr>
        <w:t>Grondwaterproductiedossier</w:t>
      </w:r>
    </w:p>
    <w:p w14:paraId="1DD0A622" w14:textId="77777777" w:rsidR="001E5633" w:rsidRDefault="001E5633" w:rsidP="001E5633">
      <w:pPr>
        <w:spacing w:line="276" w:lineRule="auto"/>
      </w:pPr>
      <w:r>
        <w:t>Het registratieobject grondwaterproductiedossier omvat de in de loop van de tijd aan het bevoegd gezag op grond van wettelijke plicht gerapporteerde productiecijfers van een grondwatergebruiksysteem.</w:t>
      </w:r>
    </w:p>
    <w:p w14:paraId="68823A45" w14:textId="77777777" w:rsidR="001E5633" w:rsidRDefault="001E5633" w:rsidP="001E5633">
      <w:pPr>
        <w:spacing w:line="276" w:lineRule="auto"/>
      </w:pPr>
    </w:p>
    <w:p w14:paraId="1782AD6F" w14:textId="0451AF43" w:rsidR="001E5633" w:rsidRDefault="001E5633" w:rsidP="001E5633">
      <w:pPr>
        <w:spacing w:line="276" w:lineRule="auto"/>
      </w:pPr>
      <w:r>
        <w:t>Het registratieobject grondwatergebruikssysteem heeft een eigen locatie; het grondwaterproductiedossier alleen indirect, omdat het is gekoppeld aan een grondwatergebruikssysteem. In de nadere uitwerking van de gegevensinhoud zal worden vastgesteld op welk niveau van het grondwatergebruikssysteem de productiegegevens daadwerkelijk gekoppeld wordt (op systeem- of puttengroep- of put-niveau).</w:t>
      </w:r>
    </w:p>
    <w:p w14:paraId="599BE9CF" w14:textId="77777777" w:rsidR="00EA3BDA" w:rsidRDefault="00EA3BDA" w:rsidP="00EA3BDA">
      <w:pPr>
        <w:spacing w:line="276" w:lineRule="auto"/>
      </w:pPr>
    </w:p>
    <w:p w14:paraId="2C8EB9BC" w14:textId="13F33F5A" w:rsidR="002A40EF" w:rsidRDefault="00192D91" w:rsidP="00383D29">
      <w:pPr>
        <w:spacing w:line="276" w:lineRule="auto"/>
      </w:pPr>
      <w:r w:rsidRPr="004460FE">
        <w:rPr>
          <w:noProof/>
        </w:rPr>
        <w:drawing>
          <wp:inline distT="0" distB="0" distL="0" distR="0" wp14:anchorId="75D21FE8" wp14:editId="044A58B5">
            <wp:extent cx="4283651" cy="18954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12121" cy="1908073"/>
                    </a:xfrm>
                    <a:prstGeom prst="rect">
                      <a:avLst/>
                    </a:prstGeom>
                  </pic:spPr>
                </pic:pic>
              </a:graphicData>
            </a:graphic>
          </wp:inline>
        </w:drawing>
      </w:r>
    </w:p>
    <w:p w14:paraId="59B91851" w14:textId="77777777" w:rsidR="00406B13" w:rsidRDefault="00406B13" w:rsidP="00383D29">
      <w:pPr>
        <w:spacing w:line="276" w:lineRule="auto"/>
      </w:pPr>
    </w:p>
    <w:p w14:paraId="139350DB" w14:textId="75C75F0A" w:rsidR="001E5633" w:rsidRPr="001E5633" w:rsidRDefault="001E5633" w:rsidP="001E5633">
      <w:pPr>
        <w:spacing w:line="276" w:lineRule="auto"/>
        <w:rPr>
          <w:i/>
          <w:iCs/>
        </w:rPr>
      </w:pPr>
      <w:r w:rsidRPr="001E5633">
        <w:rPr>
          <w:i/>
          <w:iCs/>
        </w:rPr>
        <w:t>Figuur</w:t>
      </w:r>
      <w:r>
        <w:rPr>
          <w:i/>
          <w:iCs/>
        </w:rPr>
        <w:t xml:space="preserve"> 1</w:t>
      </w:r>
      <w:r w:rsidRPr="001E5633">
        <w:rPr>
          <w:i/>
          <w:iCs/>
        </w:rPr>
        <w:t xml:space="preserve"> </w:t>
      </w:r>
      <w:r>
        <w:rPr>
          <w:i/>
          <w:iCs/>
        </w:rPr>
        <w:t>S</w:t>
      </w:r>
      <w:r w:rsidRPr="001E5633">
        <w:rPr>
          <w:i/>
          <w:iCs/>
        </w:rPr>
        <w:t>amenhang van Registratieobjecten (in geel) binnen dit domein. </w:t>
      </w:r>
    </w:p>
    <w:p w14:paraId="15918EAB" w14:textId="77777777" w:rsidR="001E5633" w:rsidRDefault="001E5633" w:rsidP="001E5633">
      <w:pPr>
        <w:spacing w:line="276" w:lineRule="auto"/>
      </w:pPr>
    </w:p>
    <w:p w14:paraId="0C1AF6F0" w14:textId="72F213BE" w:rsidR="001E5633" w:rsidRDefault="001E5633" w:rsidP="001E5633">
      <w:pPr>
        <w:spacing w:line="276" w:lineRule="auto"/>
      </w:pPr>
      <w:r>
        <w:t>Het is niet mogelijk en niet noodzakelijk om een apart vergunnings-registatieobject van het type "gebruiksrecht (BRO wet artikel 20)  te onderscheiden omdat:</w:t>
      </w:r>
    </w:p>
    <w:p w14:paraId="01800D3D" w14:textId="77777777" w:rsidR="001E5633" w:rsidRDefault="001E5633" w:rsidP="001E5633">
      <w:pPr>
        <w:spacing w:line="276" w:lineRule="auto"/>
      </w:pPr>
    </w:p>
    <w:p w14:paraId="28888B8B" w14:textId="06E58BA6" w:rsidR="001E5633" w:rsidRDefault="001E5633" w:rsidP="001E5633">
      <w:pPr>
        <w:spacing w:line="276" w:lineRule="auto"/>
      </w:pPr>
      <w:r>
        <w:t>a) bij een registratieobject van het type 'gebruiksrecht' er sprake moet zijn van een gebiedsbegrenzing waarvoor het gebruiksrecht geldt. In het vergunningskader van de  Waterwet is daar geen sprake van : er wordt een vergunning verleend om op een bepaalde locatie een grondwater te gebruiken. </w:t>
      </w:r>
    </w:p>
    <w:p w14:paraId="195E17AF" w14:textId="77777777" w:rsidR="001E5633" w:rsidRDefault="001E5633" w:rsidP="001E5633">
      <w:pPr>
        <w:spacing w:line="276" w:lineRule="auto"/>
      </w:pPr>
    </w:p>
    <w:p w14:paraId="6BE575D9" w14:textId="44C35A0A" w:rsidR="002A40EF" w:rsidRDefault="001E5633" w:rsidP="001E5633">
      <w:pPr>
        <w:spacing w:line="276" w:lineRule="auto"/>
      </w:pPr>
      <w:r>
        <w:t>b) de relevante vergunningsgegevens die onderdeel worden van de IMBRO gegevensinhoud kunnen worden ondergebracht onder het Registratieobject Grondwatergebruiksysteem.</w:t>
      </w:r>
    </w:p>
    <w:p w14:paraId="15621C8F" w14:textId="77777777" w:rsidR="001E5633" w:rsidRDefault="001E5633" w:rsidP="001E5633">
      <w:pPr>
        <w:spacing w:line="276" w:lineRule="auto"/>
      </w:pPr>
    </w:p>
    <w:p w14:paraId="371455BA" w14:textId="6FEE5524" w:rsidR="001E5633" w:rsidRDefault="001E5633" w:rsidP="001E5633">
      <w:pPr>
        <w:spacing w:line="276" w:lineRule="auto"/>
        <w:rPr>
          <w:b/>
          <w:bCs/>
          <w:color w:val="0070C0"/>
        </w:rPr>
      </w:pPr>
      <w:r w:rsidRPr="001E5633">
        <w:rPr>
          <w:b/>
          <w:bCs/>
          <w:color w:val="0070C0"/>
        </w:rPr>
        <w:t>Note:Nog uitgezocht moet worden of in de Omgevingswet ( net als in de Waterwet) er ook geen sprake is van een gebiedsafbakening voor een grondwatergebruiksvergunning</w:t>
      </w:r>
    </w:p>
    <w:p w14:paraId="20E9E670" w14:textId="77777777" w:rsidR="000F0E3C" w:rsidRDefault="000F0E3C" w:rsidP="001E5633">
      <w:pPr>
        <w:spacing w:line="276" w:lineRule="auto"/>
      </w:pPr>
    </w:p>
    <w:p w14:paraId="5CE6F001" w14:textId="268DDF4B" w:rsidR="00E8638B" w:rsidRDefault="001E5633" w:rsidP="000F0E3C">
      <w:pPr>
        <w:spacing w:line="276" w:lineRule="auto"/>
      </w:pPr>
      <w:r>
        <w:t>In Hoofdstuk 9 staat voor beide registratieobjecten globaal aangegeven welke gegevens behoren tot de IMBRO gegevensinhoud ( en welke buiten scope zijn).</w:t>
      </w:r>
    </w:p>
    <w:p w14:paraId="2BBC1391" w14:textId="77777777" w:rsidR="00E8638B" w:rsidRDefault="00E8638B">
      <w:pPr>
        <w:spacing w:line="240" w:lineRule="auto"/>
      </w:pPr>
      <w:r>
        <w:br w:type="page"/>
      </w:r>
    </w:p>
    <w:p w14:paraId="22923F0A" w14:textId="1D4250E8" w:rsidR="007B404D" w:rsidRDefault="003039EA" w:rsidP="00B06534">
      <w:pPr>
        <w:pStyle w:val="Kop1"/>
        <w:ind w:left="1134" w:hanging="1134"/>
      </w:pPr>
      <w:bookmarkStart w:id="4" w:name="_2._Het_(keten)werkproces"/>
      <w:bookmarkStart w:id="5" w:name="_Toc39233677"/>
      <w:bookmarkEnd w:id="4"/>
      <w:r>
        <w:lastRenderedPageBreak/>
        <w:t>2.</w:t>
      </w:r>
      <w:r>
        <w:tab/>
      </w:r>
      <w:r w:rsidR="00093C0F">
        <w:t>H</w:t>
      </w:r>
      <w:r w:rsidR="00533CA2">
        <w:t xml:space="preserve">et (keten)werkproces waarin </w:t>
      </w:r>
      <w:r w:rsidR="007D2B38">
        <w:t>gegevens van RO’s binnen het registratiedomein  worden</w:t>
      </w:r>
      <w:r w:rsidR="00533CA2">
        <w:t xml:space="preserve"> geproduceerd</w:t>
      </w:r>
      <w:bookmarkEnd w:id="5"/>
    </w:p>
    <w:p w14:paraId="78BE68E2" w14:textId="440AE26E" w:rsidR="00C4498D" w:rsidRDefault="00D45F19" w:rsidP="00383D29">
      <w:pPr>
        <w:spacing w:line="276" w:lineRule="auto"/>
      </w:pPr>
      <w:r w:rsidRPr="00D45F19">
        <w:t>De huidige processtroom waarin de gegevens van GUF en GPD  worden geproduceerd is weergegeven in onderstaand figuur:</w:t>
      </w:r>
    </w:p>
    <w:p w14:paraId="64E857B5" w14:textId="77777777" w:rsidR="00C4498D" w:rsidRDefault="00C4498D" w:rsidP="00383D29">
      <w:pPr>
        <w:spacing w:line="276" w:lineRule="auto"/>
      </w:pPr>
    </w:p>
    <w:p w14:paraId="3797A561" w14:textId="15665E4D" w:rsidR="00192D91" w:rsidRDefault="00D45F19" w:rsidP="00406B13">
      <w:pPr>
        <w:spacing w:line="276" w:lineRule="auto"/>
      </w:pPr>
      <w:r>
        <w:rPr>
          <w:noProof/>
        </w:rPr>
        <w:drawing>
          <wp:inline distT="0" distB="0" distL="0" distR="0" wp14:anchorId="7E4ACA51" wp14:editId="632B13A8">
            <wp:extent cx="4835764" cy="662385"/>
            <wp:effectExtent l="0" t="0" r="3175" b="4445"/>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69497" cy="680703"/>
                    </a:xfrm>
                    <a:prstGeom prst="rect">
                      <a:avLst/>
                    </a:prstGeom>
                    <a:noFill/>
                  </pic:spPr>
                </pic:pic>
              </a:graphicData>
            </a:graphic>
          </wp:inline>
        </w:drawing>
      </w:r>
    </w:p>
    <w:p w14:paraId="6566805A" w14:textId="2856F8C7" w:rsidR="00D45F19" w:rsidRDefault="00D45F19" w:rsidP="00406B13">
      <w:pPr>
        <w:spacing w:line="276" w:lineRule="auto"/>
      </w:pPr>
    </w:p>
    <w:p w14:paraId="3F88FEE9" w14:textId="203F5005" w:rsidR="00D45F19" w:rsidRDefault="00D45F19" w:rsidP="00D45F19">
      <w:pPr>
        <w:spacing w:line="276" w:lineRule="auto"/>
      </w:pPr>
      <w:r>
        <w:t>De aanvraag van een vergunning of het doen van een melding door een vergunningnemer/melder wordt voorafgegaan door een ontwerpproces waarin de locatiekeuze en het technisch systeemontwerp wordt gemaakt. De aanvrager levert op basis van wettelijke plicht (zie H6) tav meldplicht of vergunningaanvraag de ontwerpgegevens aan aan bevoegd gezag via de portalen Omgevingsloket/ActiviteitenbesluitInternetModule. De gegevens worden ter beoordeling van de melding of aanvraag geregistreerd in de zaaksysteem van de bevoegd gezagen. Bevoegd gezagen beoordelen de aanvraag op compleetheid en haalbaarheid. Wanneer tot vergunningverlening wordt besloten wordt een beschikking afgegeven, waarna vergunningnemer het systeem kan realiseren.  Indien er afwijkingen ontstaan tussen en ontwerp en gerealiseerd systeem (bijvoorbeeld omdat het filter van een onttrekkingsput in de praktijk op een andere diepte wordt geplaatst na de constatering dat zich op de ontwerpdiepte een slcht doorlatende kleilaag bevindt) worden de gerealiseerde gegevens doorgegeven aan bevoegd gezag. In de expoitatiefase wordt door vergunningnemer of melder de status van het systeem en de wettelijk verplichte productiegegevens aangeleverd aan bevoegd gezag.      </w:t>
      </w:r>
    </w:p>
    <w:p w14:paraId="05A807DD" w14:textId="77777777" w:rsidR="00D45F19" w:rsidRDefault="00D45F19" w:rsidP="00D45F19">
      <w:pPr>
        <w:spacing w:line="276" w:lineRule="auto"/>
      </w:pPr>
    </w:p>
    <w:p w14:paraId="2B92BC57" w14:textId="1A426D3F" w:rsidR="00D45F19" w:rsidRDefault="00D45F19" w:rsidP="00D45F19">
      <w:pPr>
        <w:spacing w:line="276" w:lineRule="auto"/>
      </w:pPr>
      <w:r>
        <w:t>Door een groot aantal bevoegd gezagen (maar dus niet alle) worden deze gegevens in het Landelijk Grondwater Register-LGR ( zie H5) geregisteerd. Vanuit het LGR worden INSPIRE webservices beschikbaar gesteld waarmee bijvoorbeeld de WKO tool  Bodemenergieinformatiesysteem) wordt 'gevoed'.</w:t>
      </w:r>
    </w:p>
    <w:p w14:paraId="1B10179D" w14:textId="37ED9F8A" w:rsidR="00D45F19" w:rsidRDefault="00D45F19" w:rsidP="00406B13">
      <w:pPr>
        <w:spacing w:line="276" w:lineRule="auto"/>
      </w:pPr>
    </w:p>
    <w:p w14:paraId="320E552A" w14:textId="6AE5F28A" w:rsidR="00D45F19" w:rsidRDefault="00D45F19" w:rsidP="00406B13">
      <w:pPr>
        <w:spacing w:line="276" w:lineRule="auto"/>
      </w:pPr>
    </w:p>
    <w:p w14:paraId="12968083" w14:textId="4AA8E2B5" w:rsidR="00D45F19" w:rsidRDefault="00D45F19" w:rsidP="00406B13">
      <w:pPr>
        <w:spacing w:line="276" w:lineRule="auto"/>
      </w:pPr>
      <w:r>
        <w:t xml:space="preserve">De mogelijk </w:t>
      </w:r>
      <w:r>
        <w:rPr>
          <w:u w:val="single"/>
        </w:rPr>
        <w:t>toekomstige</w:t>
      </w:r>
      <w:r>
        <w:t xml:space="preserve"> processtroom waarbij  de BRO onderdeel vormt van de gegevensstroom kan er als volgt uit zien:</w:t>
      </w:r>
    </w:p>
    <w:p w14:paraId="4C0E0A3A" w14:textId="0942E930" w:rsidR="00D45F19" w:rsidRDefault="00D45F19" w:rsidP="00406B13">
      <w:pPr>
        <w:spacing w:line="276" w:lineRule="auto"/>
      </w:pPr>
    </w:p>
    <w:p w14:paraId="66F87F59" w14:textId="17ED1322" w:rsidR="00D45F19" w:rsidRDefault="00D45F19" w:rsidP="00406B13">
      <w:pPr>
        <w:spacing w:line="276" w:lineRule="auto"/>
      </w:pPr>
      <w:r>
        <w:rPr>
          <w:noProof/>
        </w:rPr>
        <w:lastRenderedPageBreak/>
        <w:drawing>
          <wp:inline distT="0" distB="0" distL="0" distR="0" wp14:anchorId="58E0C590" wp14:editId="4D3791C8">
            <wp:extent cx="4858224" cy="1920829"/>
            <wp:effectExtent l="0" t="0" r="0" b="381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75549" cy="1927679"/>
                    </a:xfrm>
                    <a:prstGeom prst="rect">
                      <a:avLst/>
                    </a:prstGeom>
                    <a:noFill/>
                  </pic:spPr>
                </pic:pic>
              </a:graphicData>
            </a:graphic>
          </wp:inline>
        </w:drawing>
      </w:r>
    </w:p>
    <w:p w14:paraId="3F2047FB" w14:textId="77777777" w:rsidR="00D45F19" w:rsidRDefault="00D45F19" w:rsidP="00406B13">
      <w:pPr>
        <w:spacing w:line="276" w:lineRule="auto"/>
      </w:pPr>
    </w:p>
    <w:p w14:paraId="2F5F72E3" w14:textId="0929E960" w:rsidR="00D45F19" w:rsidRDefault="00D45F19" w:rsidP="00406B13">
      <w:pPr>
        <w:spacing w:line="276" w:lineRule="auto"/>
      </w:pPr>
      <w:r w:rsidRPr="00D45F19">
        <w:t>In dit scenario worden de BRO gegevens vanuit de zaaksystemen van de bevoegd gezagen (de bronhouders) aangeleverd aan het bronhouderportaal.  Na doorlevering naar de LV-BRO kunnen deze gegevens worden uitgegeven naar LGR  (maar ook naar de standaard BRO uitgiftekanalen BROloket en PDOK)</w:t>
      </w:r>
      <w:r>
        <w:t>.</w:t>
      </w:r>
      <w:r w:rsidRPr="00D45F19">
        <w:t>  </w:t>
      </w:r>
    </w:p>
    <w:p w14:paraId="2F6E3C4F" w14:textId="44752B58" w:rsidR="00533CA2" w:rsidRDefault="00533CA2" w:rsidP="007E1F23">
      <w:pPr>
        <w:pStyle w:val="Kop1"/>
        <w:tabs>
          <w:tab w:val="left" w:pos="1134"/>
        </w:tabs>
        <w:ind w:left="1134" w:hanging="1134"/>
      </w:pPr>
      <w:r>
        <w:br w:type="page"/>
      </w:r>
      <w:bookmarkStart w:id="6" w:name="_Toc39233678"/>
      <w:r w:rsidR="00B35B80">
        <w:lastRenderedPageBreak/>
        <w:t>3.</w:t>
      </w:r>
      <w:r w:rsidR="00B35B80">
        <w:tab/>
      </w:r>
      <w:r w:rsidR="00EC2EE6">
        <w:t>S</w:t>
      </w:r>
      <w:r w:rsidRPr="00533CA2">
        <w:t>takeholders</w:t>
      </w:r>
      <w:bookmarkEnd w:id="6"/>
    </w:p>
    <w:p w14:paraId="7F521FFA" w14:textId="5ED9A0E7" w:rsidR="00C52106" w:rsidRDefault="00C52106" w:rsidP="00383D29">
      <w:pPr>
        <w:spacing w:line="276" w:lineRule="auto"/>
      </w:pPr>
      <w:r>
        <w:t>Het registratie</w:t>
      </w:r>
      <w:r w:rsidR="00192D91">
        <w:t xml:space="preserve">domein </w:t>
      </w:r>
      <w:r>
        <w:t>Grondwater</w:t>
      </w:r>
      <w:r w:rsidR="00192D91">
        <w:t xml:space="preserve">gebruik </w:t>
      </w:r>
      <w:r>
        <w:t>kent de volgende stakeholders</w:t>
      </w:r>
      <w:r w:rsidR="0036411F">
        <w:t>:</w:t>
      </w:r>
    </w:p>
    <w:p w14:paraId="0CA1B049" w14:textId="77777777" w:rsidR="00C52106" w:rsidRDefault="00C52106" w:rsidP="00383D29">
      <w:pPr>
        <w:spacing w:line="276" w:lineRule="auto"/>
      </w:pPr>
    </w:p>
    <w:p w14:paraId="31F49ABD" w14:textId="77777777" w:rsidR="00C52106" w:rsidRPr="00C52106" w:rsidRDefault="00C52106" w:rsidP="00383D29">
      <w:pPr>
        <w:spacing w:line="276" w:lineRule="auto"/>
        <w:rPr>
          <w:b/>
          <w:bCs/>
        </w:rPr>
      </w:pPr>
      <w:r w:rsidRPr="00C52106">
        <w:rPr>
          <w:b/>
          <w:bCs/>
        </w:rPr>
        <w:t>Bronhouders</w:t>
      </w:r>
    </w:p>
    <w:p w14:paraId="0FE123AC" w14:textId="7A3B2D7D" w:rsidR="00C52106" w:rsidRDefault="00C95A2E" w:rsidP="00383D29">
      <w:pPr>
        <w:spacing w:line="276" w:lineRule="auto"/>
      </w:pPr>
      <w:r>
        <w:t>B</w:t>
      </w:r>
      <w:r w:rsidR="00C52106">
        <w:t xml:space="preserve">estuursorganen die </w:t>
      </w:r>
      <w:r w:rsidR="00192D91">
        <w:t xml:space="preserve">in hun rol als bevoegd gezag grondwatergebruiks vergunningen afgeven/meldingen registreren en </w:t>
      </w:r>
      <w:r w:rsidR="00D20841">
        <w:t xml:space="preserve"> </w:t>
      </w:r>
      <w:r w:rsidR="00192D91">
        <w:t>gegevens</w:t>
      </w:r>
      <w:r w:rsidR="00D20841">
        <w:t xml:space="preserve"> </w:t>
      </w:r>
      <w:r w:rsidR="00327BB0">
        <w:t xml:space="preserve">ten aanzien </w:t>
      </w:r>
      <w:r w:rsidR="00192D91">
        <w:t xml:space="preserve">daarvan </w:t>
      </w:r>
      <w:r w:rsidR="00D20841">
        <w:t xml:space="preserve">moeten </w:t>
      </w:r>
      <w:r w:rsidR="00327BB0">
        <w:t xml:space="preserve">(laten) </w:t>
      </w:r>
      <w:r w:rsidR="00C52106">
        <w:t>registreren in de BRO</w:t>
      </w:r>
      <w:r w:rsidR="0036411F">
        <w:t>:</w:t>
      </w:r>
    </w:p>
    <w:p w14:paraId="4B223D3F" w14:textId="77777777" w:rsidR="00C52106" w:rsidRDefault="00C52106" w:rsidP="00383D29">
      <w:pPr>
        <w:spacing w:line="276" w:lineRule="auto"/>
      </w:pPr>
      <w:r>
        <w:t xml:space="preserve"> </w:t>
      </w:r>
    </w:p>
    <w:p w14:paraId="03BDC1BD" w14:textId="54249B26" w:rsidR="00C52106" w:rsidRDefault="00192D91" w:rsidP="00192D91">
      <w:pPr>
        <w:spacing w:line="276" w:lineRule="auto"/>
        <w:ind w:left="426" w:hanging="284"/>
      </w:pPr>
      <w:r>
        <w:t>•</w:t>
      </w:r>
      <w:r>
        <w:tab/>
        <w:t>Rijkswaterstaat</w:t>
      </w:r>
    </w:p>
    <w:p w14:paraId="21BE19EC" w14:textId="77777777" w:rsidR="00C52106" w:rsidRDefault="00C52106" w:rsidP="0036411F">
      <w:pPr>
        <w:spacing w:line="276" w:lineRule="auto"/>
        <w:ind w:left="426" w:hanging="284"/>
      </w:pPr>
      <w:r>
        <w:t>•</w:t>
      </w:r>
      <w:r>
        <w:tab/>
        <w:t>Provincies</w:t>
      </w:r>
    </w:p>
    <w:p w14:paraId="14F5374C" w14:textId="77777777" w:rsidR="00C52106" w:rsidRDefault="00C52106" w:rsidP="0036411F">
      <w:pPr>
        <w:spacing w:line="276" w:lineRule="auto"/>
        <w:ind w:left="426" w:hanging="284"/>
      </w:pPr>
      <w:r>
        <w:t>•</w:t>
      </w:r>
      <w:r>
        <w:tab/>
        <w:t>Waterschappen</w:t>
      </w:r>
    </w:p>
    <w:p w14:paraId="1E5719CE" w14:textId="77777777" w:rsidR="00C52106" w:rsidRDefault="00C52106" w:rsidP="0036411F">
      <w:pPr>
        <w:spacing w:line="276" w:lineRule="auto"/>
        <w:ind w:left="426" w:hanging="284"/>
      </w:pPr>
      <w:r>
        <w:t>•</w:t>
      </w:r>
      <w:r>
        <w:tab/>
        <w:t>Gemeentes</w:t>
      </w:r>
    </w:p>
    <w:p w14:paraId="0E85BA59" w14:textId="77777777" w:rsidR="00C52106" w:rsidRDefault="00C52106" w:rsidP="00383D29">
      <w:pPr>
        <w:spacing w:line="276" w:lineRule="auto"/>
      </w:pPr>
    </w:p>
    <w:p w14:paraId="3B4A98E3" w14:textId="5B320D83" w:rsidR="00C52106" w:rsidRPr="00C52106" w:rsidRDefault="00192D91" w:rsidP="00383D29">
      <w:pPr>
        <w:spacing w:line="276" w:lineRule="auto"/>
        <w:rPr>
          <w:b/>
          <w:bCs/>
        </w:rPr>
      </w:pPr>
      <w:r>
        <w:rPr>
          <w:b/>
          <w:bCs/>
        </w:rPr>
        <w:t>Dataleveranciers</w:t>
      </w:r>
    </w:p>
    <w:p w14:paraId="37D80AEA" w14:textId="27EAC505" w:rsidR="00C52106" w:rsidRDefault="00480440" w:rsidP="00383D29">
      <w:pPr>
        <w:spacing w:line="276" w:lineRule="auto"/>
      </w:pPr>
      <w:r>
        <w:t>B</w:t>
      </w:r>
      <w:r w:rsidR="00C52106">
        <w:t xml:space="preserve">estuurlijke samenwerkingsverbanden die </w:t>
      </w:r>
      <w:r w:rsidR="00192D91">
        <w:t xml:space="preserve">een uitvoerende rol hebben in vergunningverlening, toezicht en handhaving (VTH) en daarmee </w:t>
      </w:r>
      <w:r w:rsidR="00327BB0">
        <w:t>namen</w:t>
      </w:r>
      <w:r w:rsidR="00192D91">
        <w:t>s bevoegd gezagen gegevens</w:t>
      </w:r>
      <w:r w:rsidR="00327BB0">
        <w:t xml:space="preserve"> verzamelen en leveren aan de BRO</w:t>
      </w:r>
      <w:r w:rsidR="00D45F19">
        <w:t>:</w:t>
      </w:r>
      <w:r w:rsidR="00192D91">
        <w:t xml:space="preserve"> </w:t>
      </w:r>
    </w:p>
    <w:p w14:paraId="762793AA" w14:textId="77777777" w:rsidR="00C52106" w:rsidRDefault="00C52106" w:rsidP="00383D29">
      <w:pPr>
        <w:spacing w:line="276" w:lineRule="auto"/>
      </w:pPr>
    </w:p>
    <w:p w14:paraId="53CCFC61" w14:textId="7478D8D4" w:rsidR="00C52106" w:rsidRDefault="00327BB0" w:rsidP="0002105C">
      <w:pPr>
        <w:spacing w:line="276" w:lineRule="auto"/>
        <w:ind w:left="426" w:hanging="284"/>
      </w:pPr>
      <w:r>
        <w:t>•</w:t>
      </w:r>
      <w:r w:rsidR="00C52106">
        <w:tab/>
        <w:t>Regionale Uitvoeringsdiensten</w:t>
      </w:r>
    </w:p>
    <w:p w14:paraId="79FAE628" w14:textId="77777777" w:rsidR="00C52106" w:rsidRDefault="00C52106" w:rsidP="0002105C">
      <w:pPr>
        <w:spacing w:line="276" w:lineRule="auto"/>
        <w:ind w:left="426" w:hanging="284"/>
      </w:pPr>
      <w:r>
        <w:t>•</w:t>
      </w:r>
      <w:r>
        <w:tab/>
        <w:t>Omgevingsdiensten</w:t>
      </w:r>
    </w:p>
    <w:p w14:paraId="5264D701" w14:textId="063BE15F" w:rsidR="00C52106" w:rsidRDefault="00C52106" w:rsidP="00327BB0">
      <w:pPr>
        <w:spacing w:line="276" w:lineRule="auto"/>
        <w:ind w:left="426" w:hanging="284"/>
      </w:pPr>
    </w:p>
    <w:p w14:paraId="2DEDCABB" w14:textId="77777777" w:rsidR="00327BB0" w:rsidRDefault="00327BB0" w:rsidP="00383D29">
      <w:pPr>
        <w:spacing w:line="276" w:lineRule="auto"/>
        <w:rPr>
          <w:b/>
          <w:bCs/>
        </w:rPr>
      </w:pPr>
      <w:r>
        <w:rPr>
          <w:b/>
          <w:bCs/>
        </w:rPr>
        <w:t xml:space="preserve">Vergunningnemers </w:t>
      </w:r>
    </w:p>
    <w:p w14:paraId="6CF4262F" w14:textId="359A920F" w:rsidR="00C52106" w:rsidRDefault="00E8638B" w:rsidP="00383D29">
      <w:pPr>
        <w:spacing w:line="276" w:lineRule="auto"/>
      </w:pPr>
      <w:r>
        <w:t>1)</w:t>
      </w:r>
      <w:r w:rsidR="00327BB0">
        <w:t xml:space="preserve">Publieke of </w:t>
      </w:r>
      <w:r w:rsidR="00C52106">
        <w:t xml:space="preserve">private organisaties die </w:t>
      </w:r>
      <w:r w:rsidR="00327BB0">
        <w:t>op basis van een aan hun verstrekte vergunning  dan wel door hun verstrekte melding aan bevoegd gezag een grondwatergebruikssysteem realiseren en gegevens ten aanzien daarvan produceren en moeten aanleveren aan bevoegd gezag</w:t>
      </w:r>
      <w:r w:rsidR="00C52106">
        <w:t>:</w:t>
      </w:r>
    </w:p>
    <w:p w14:paraId="429316A1" w14:textId="77777777" w:rsidR="00C95A2E" w:rsidRDefault="00C95A2E" w:rsidP="00383D29">
      <w:pPr>
        <w:spacing w:line="276" w:lineRule="auto"/>
      </w:pPr>
    </w:p>
    <w:p w14:paraId="6D69D71A" w14:textId="77777777" w:rsidR="00C52106" w:rsidRDefault="00C52106" w:rsidP="0002105C">
      <w:pPr>
        <w:spacing w:line="276" w:lineRule="auto"/>
        <w:ind w:left="426" w:hanging="284"/>
      </w:pPr>
      <w:r>
        <w:t>•</w:t>
      </w:r>
      <w:r>
        <w:tab/>
        <w:t>Drinkwaterbedrijven</w:t>
      </w:r>
    </w:p>
    <w:p w14:paraId="106DF9C2" w14:textId="41C88D30" w:rsidR="00C52106" w:rsidRDefault="00C52106" w:rsidP="0002105C">
      <w:pPr>
        <w:spacing w:line="276" w:lineRule="auto"/>
        <w:ind w:left="426" w:hanging="284"/>
      </w:pPr>
      <w:r>
        <w:t>•</w:t>
      </w:r>
      <w:r>
        <w:tab/>
        <w:t xml:space="preserve">Grondwateronttrekkende </w:t>
      </w:r>
      <w:r w:rsidR="0002105C">
        <w:t>i</w:t>
      </w:r>
      <w:r>
        <w:t>ndustrie</w:t>
      </w:r>
      <w:r w:rsidR="00327BB0">
        <w:t xml:space="preserve"> en landbouwbedrijven</w:t>
      </w:r>
    </w:p>
    <w:p w14:paraId="7673D041" w14:textId="5409554F" w:rsidR="00E8638B" w:rsidRDefault="00C52106" w:rsidP="00E8638B">
      <w:pPr>
        <w:spacing w:line="276" w:lineRule="auto"/>
        <w:ind w:left="426" w:hanging="284"/>
      </w:pPr>
      <w:r>
        <w:t>•</w:t>
      </w:r>
      <w:r>
        <w:tab/>
        <w:t xml:space="preserve">(Ondiepe) </w:t>
      </w:r>
      <w:r w:rsidR="0002105C">
        <w:t>b</w:t>
      </w:r>
      <w:r>
        <w:t>odemenergie-exploitanten (</w:t>
      </w:r>
      <w:r w:rsidR="0002105C">
        <w:t>b</w:t>
      </w:r>
      <w:r>
        <w:t xml:space="preserve">edrijven, </w:t>
      </w:r>
      <w:r w:rsidR="0002105C">
        <w:t>z</w:t>
      </w:r>
      <w:r>
        <w:t>iekenhuizen, overige instellingen)</w:t>
      </w:r>
    </w:p>
    <w:p w14:paraId="3C820A0A" w14:textId="051A8FBE" w:rsidR="00D45F19" w:rsidRDefault="00D45F19" w:rsidP="006D748D">
      <w:pPr>
        <w:pStyle w:val="Lijstalinea"/>
        <w:numPr>
          <w:ilvl w:val="0"/>
          <w:numId w:val="36"/>
        </w:numPr>
        <w:spacing w:line="276" w:lineRule="auto"/>
      </w:pPr>
      <w:r>
        <w:t>Aannemers</w:t>
      </w:r>
    </w:p>
    <w:p w14:paraId="67092FE8" w14:textId="4C6B5B04" w:rsidR="00E8638B" w:rsidRDefault="00E8638B" w:rsidP="006D748D">
      <w:pPr>
        <w:pStyle w:val="Lijstalinea"/>
        <w:numPr>
          <w:ilvl w:val="0"/>
          <w:numId w:val="36"/>
        </w:numPr>
        <w:spacing w:line="276" w:lineRule="auto"/>
      </w:pPr>
      <w:r>
        <w:t>…</w:t>
      </w:r>
    </w:p>
    <w:p w14:paraId="65A48A79" w14:textId="4FAA0B81" w:rsidR="0002105C" w:rsidRDefault="0002105C">
      <w:pPr>
        <w:spacing w:line="240" w:lineRule="auto"/>
      </w:pPr>
    </w:p>
    <w:p w14:paraId="13090835" w14:textId="77777777" w:rsidR="00C52106" w:rsidRDefault="00C52106" w:rsidP="00383D29">
      <w:pPr>
        <w:spacing w:line="276" w:lineRule="auto"/>
        <w:ind w:left="284" w:hanging="284"/>
      </w:pPr>
    </w:p>
    <w:p w14:paraId="746142A8" w14:textId="7C5E3B63" w:rsidR="00C52106" w:rsidRDefault="00C52106" w:rsidP="00383D29">
      <w:pPr>
        <w:spacing w:line="276" w:lineRule="auto"/>
      </w:pPr>
      <w:r>
        <w:t xml:space="preserve">2) Alle private </w:t>
      </w:r>
      <w:r w:rsidR="00327BB0">
        <w:t>organisaties die een adviserende/ontzorgende</w:t>
      </w:r>
      <w:r>
        <w:t xml:space="preserve"> rol hebben in het </w:t>
      </w:r>
      <w:r w:rsidR="00327BB0">
        <w:t xml:space="preserve">ontwerp, realisatie en beheersproces </w:t>
      </w:r>
      <w:r>
        <w:t xml:space="preserve">voor </w:t>
      </w:r>
      <w:r w:rsidR="00327BB0">
        <w:t xml:space="preserve">vergunningnemers </w:t>
      </w:r>
      <w:r>
        <w:t xml:space="preserve">en die in die rol </w:t>
      </w:r>
      <w:r w:rsidR="00252655">
        <w:t xml:space="preserve">(meestal op contractbasis) </w:t>
      </w:r>
      <w:r w:rsidR="00327BB0">
        <w:t xml:space="preserve">relevante </w:t>
      </w:r>
      <w:r>
        <w:t xml:space="preserve">gegevens </w:t>
      </w:r>
      <w:r w:rsidR="00327BB0">
        <w:t xml:space="preserve">ten aanzien van grondwatergebruikssystemen </w:t>
      </w:r>
      <w:r>
        <w:t xml:space="preserve">produceren: </w:t>
      </w:r>
    </w:p>
    <w:p w14:paraId="07B469EF" w14:textId="77777777" w:rsidR="00C95A2E" w:rsidRDefault="00C95A2E" w:rsidP="00383D29">
      <w:pPr>
        <w:spacing w:line="276" w:lineRule="auto"/>
      </w:pPr>
    </w:p>
    <w:p w14:paraId="52472D27" w14:textId="461E5EFF" w:rsidR="00C52106" w:rsidRDefault="00C52106" w:rsidP="0002105C">
      <w:pPr>
        <w:spacing w:line="276" w:lineRule="auto"/>
        <w:ind w:left="426" w:hanging="284"/>
      </w:pPr>
      <w:r>
        <w:t>•</w:t>
      </w:r>
      <w:r>
        <w:tab/>
        <w:t>Marktpartijen: advies</w:t>
      </w:r>
      <w:r w:rsidR="00D22F11">
        <w:t>- en</w:t>
      </w:r>
      <w:r w:rsidR="00327BB0">
        <w:t xml:space="preserve"> ingenieursbureaus,</w:t>
      </w:r>
      <w:r>
        <w:t xml:space="preserve"> veldwerkbureaus</w:t>
      </w:r>
    </w:p>
    <w:p w14:paraId="0F9C1068" w14:textId="77777777" w:rsidR="00C52106" w:rsidRDefault="00C52106" w:rsidP="0002105C">
      <w:pPr>
        <w:spacing w:line="276" w:lineRule="auto"/>
        <w:ind w:left="426" w:hanging="284"/>
      </w:pPr>
      <w:r>
        <w:t>•</w:t>
      </w:r>
      <w:r>
        <w:tab/>
        <w:t>Kennisinstellingen</w:t>
      </w:r>
    </w:p>
    <w:p w14:paraId="0FC57393" w14:textId="77777777" w:rsidR="00C52106" w:rsidRDefault="00C52106" w:rsidP="00383D29">
      <w:pPr>
        <w:spacing w:line="276" w:lineRule="auto"/>
      </w:pPr>
    </w:p>
    <w:p w14:paraId="24EF9151" w14:textId="77777777" w:rsidR="00C52106" w:rsidRPr="00D22F11" w:rsidRDefault="00C52106" w:rsidP="00383D29">
      <w:pPr>
        <w:spacing w:line="276" w:lineRule="auto"/>
        <w:rPr>
          <w:b/>
          <w:bCs/>
        </w:rPr>
      </w:pPr>
      <w:r w:rsidRPr="00D22F11">
        <w:rPr>
          <w:b/>
          <w:bCs/>
        </w:rPr>
        <w:t>Gebruikers</w:t>
      </w:r>
    </w:p>
    <w:p w14:paraId="15A68BC6" w14:textId="3CA9F992" w:rsidR="00C52106" w:rsidRDefault="00D22F11" w:rsidP="00383D29">
      <w:pPr>
        <w:spacing w:line="276" w:lineRule="auto"/>
      </w:pPr>
      <w:r>
        <w:t xml:space="preserve">1) </w:t>
      </w:r>
      <w:r w:rsidR="00C52106">
        <w:t>Bestuursorganen die geregistreerde grondwater</w:t>
      </w:r>
      <w:r w:rsidR="00327BB0">
        <w:t>gebruiks</w:t>
      </w:r>
      <w:r w:rsidR="00C52106">
        <w:t xml:space="preserve">gegevens </w:t>
      </w:r>
      <w:r w:rsidR="00AF2C96">
        <w:t xml:space="preserve">uit de BRO </w:t>
      </w:r>
      <w:r w:rsidR="00C52106">
        <w:t>verplicht moeten gebruiken:</w:t>
      </w:r>
    </w:p>
    <w:p w14:paraId="314CD903" w14:textId="77777777" w:rsidR="00C52106" w:rsidRDefault="00C52106" w:rsidP="00383D29">
      <w:pPr>
        <w:spacing w:line="276" w:lineRule="auto"/>
      </w:pPr>
    </w:p>
    <w:p w14:paraId="6C2E16C3" w14:textId="41131DB4" w:rsidR="00C52106" w:rsidRDefault="00C52106" w:rsidP="00AF2C96">
      <w:pPr>
        <w:spacing w:line="276" w:lineRule="auto"/>
        <w:ind w:left="426" w:hanging="284"/>
      </w:pPr>
      <w:r>
        <w:t>•</w:t>
      </w:r>
      <w:r w:rsidR="00E8638B">
        <w:t xml:space="preserve"> </w:t>
      </w:r>
      <w:r>
        <w:t xml:space="preserve">Rijksoverheidsorganisaties, gelieerd aan een ministerie, onder andere: </w:t>
      </w:r>
    </w:p>
    <w:p w14:paraId="3F2C2C67" w14:textId="77777777" w:rsidR="00C52106" w:rsidRDefault="00C52106" w:rsidP="00AF2C96">
      <w:pPr>
        <w:spacing w:line="276" w:lineRule="auto"/>
        <w:ind w:left="851" w:hanging="283"/>
      </w:pPr>
      <w:r>
        <w:t>o</w:t>
      </w:r>
      <w:r>
        <w:tab/>
        <w:t>RIVM</w:t>
      </w:r>
    </w:p>
    <w:p w14:paraId="1CB0451C" w14:textId="77777777" w:rsidR="00C52106" w:rsidRDefault="00C52106" w:rsidP="00AF2C96">
      <w:pPr>
        <w:spacing w:line="276" w:lineRule="auto"/>
        <w:ind w:left="851" w:hanging="283"/>
      </w:pPr>
      <w:r>
        <w:t>o</w:t>
      </w:r>
      <w:r>
        <w:tab/>
        <w:t>Rijkswaterstaat</w:t>
      </w:r>
    </w:p>
    <w:p w14:paraId="315806E9" w14:textId="77777777" w:rsidR="00C52106" w:rsidRDefault="00C52106" w:rsidP="00AF2C96">
      <w:pPr>
        <w:spacing w:line="276" w:lineRule="auto"/>
        <w:ind w:left="851" w:hanging="283"/>
      </w:pPr>
      <w:r>
        <w:t>o</w:t>
      </w:r>
      <w:r>
        <w:tab/>
        <w:t>Staatsbosbeheer</w:t>
      </w:r>
    </w:p>
    <w:p w14:paraId="190DD3EA" w14:textId="77777777" w:rsidR="00C52106" w:rsidRDefault="00C52106" w:rsidP="00AF2C96">
      <w:pPr>
        <w:spacing w:line="276" w:lineRule="auto"/>
        <w:ind w:left="851" w:hanging="283"/>
      </w:pPr>
      <w:r>
        <w:t>o</w:t>
      </w:r>
      <w:r>
        <w:tab/>
        <w:t>Ministerie van Defensie</w:t>
      </w:r>
    </w:p>
    <w:p w14:paraId="4287857C" w14:textId="77777777" w:rsidR="00C52106" w:rsidRDefault="00C52106" w:rsidP="00AF2C96">
      <w:pPr>
        <w:spacing w:line="276" w:lineRule="auto"/>
        <w:ind w:left="851" w:hanging="283"/>
      </w:pPr>
      <w:r>
        <w:t>o</w:t>
      </w:r>
      <w:r>
        <w:tab/>
        <w:t>Ministerie van I&amp;W</w:t>
      </w:r>
    </w:p>
    <w:p w14:paraId="6418B8D7" w14:textId="77777777" w:rsidR="00C52106" w:rsidRDefault="00C52106" w:rsidP="00AF2C96">
      <w:pPr>
        <w:spacing w:line="276" w:lineRule="auto"/>
        <w:ind w:left="851" w:hanging="283"/>
      </w:pPr>
      <w:r>
        <w:t>o</w:t>
      </w:r>
      <w:r>
        <w:tab/>
        <w:t>Ministerie van LNV</w:t>
      </w:r>
    </w:p>
    <w:p w14:paraId="2378054C" w14:textId="77777777" w:rsidR="00C52106" w:rsidRDefault="00C52106" w:rsidP="00AF2C96">
      <w:pPr>
        <w:spacing w:line="276" w:lineRule="auto"/>
        <w:ind w:left="426" w:hanging="284"/>
      </w:pPr>
      <w:r>
        <w:t>•</w:t>
      </w:r>
      <w:r>
        <w:tab/>
        <w:t>Provincies</w:t>
      </w:r>
    </w:p>
    <w:p w14:paraId="4E6FEB62" w14:textId="77777777" w:rsidR="00C52106" w:rsidRDefault="00C52106" w:rsidP="00AF2C96">
      <w:pPr>
        <w:spacing w:line="276" w:lineRule="auto"/>
        <w:ind w:left="426" w:hanging="284"/>
      </w:pPr>
      <w:r>
        <w:t>•</w:t>
      </w:r>
      <w:r>
        <w:tab/>
        <w:t>Waterschappen</w:t>
      </w:r>
    </w:p>
    <w:p w14:paraId="36A5DFF9" w14:textId="77777777" w:rsidR="00C52106" w:rsidRDefault="00C52106" w:rsidP="00AF2C96">
      <w:pPr>
        <w:spacing w:line="276" w:lineRule="auto"/>
        <w:ind w:left="426" w:hanging="284"/>
      </w:pPr>
      <w:r>
        <w:t>•</w:t>
      </w:r>
      <w:r>
        <w:tab/>
        <w:t>Gemeentes</w:t>
      </w:r>
    </w:p>
    <w:p w14:paraId="2EEDBCF4" w14:textId="385429A6" w:rsidR="00C52106" w:rsidRDefault="00D070FF" w:rsidP="00D070FF">
      <w:pPr>
        <w:spacing w:line="276" w:lineRule="auto"/>
        <w:ind w:left="426" w:hanging="284"/>
      </w:pPr>
      <w:r>
        <w:t>•</w:t>
      </w:r>
      <w:r>
        <w:tab/>
        <w:t>Regionale uitvoeringsdiensten/omgevingsdiensten</w:t>
      </w:r>
    </w:p>
    <w:p w14:paraId="0FCEA24B" w14:textId="5AB9E267" w:rsidR="00E8638B" w:rsidRDefault="00E8638B" w:rsidP="006D748D">
      <w:pPr>
        <w:pStyle w:val="Lijstalinea"/>
        <w:numPr>
          <w:ilvl w:val="0"/>
          <w:numId w:val="37"/>
        </w:numPr>
        <w:spacing w:line="276" w:lineRule="auto"/>
      </w:pPr>
      <w:r>
        <w:t>RVO</w:t>
      </w:r>
    </w:p>
    <w:p w14:paraId="14D13112" w14:textId="77777777" w:rsidR="00E8638B" w:rsidRDefault="00E8638B" w:rsidP="00D070FF">
      <w:pPr>
        <w:spacing w:line="276" w:lineRule="auto"/>
        <w:ind w:left="426" w:hanging="284"/>
      </w:pPr>
    </w:p>
    <w:p w14:paraId="7176A6E4" w14:textId="713850D1" w:rsidR="00D22F11" w:rsidRDefault="00D22F11" w:rsidP="00383D29">
      <w:pPr>
        <w:spacing w:line="276" w:lineRule="auto"/>
        <w:ind w:left="284" w:hanging="284"/>
      </w:pPr>
    </w:p>
    <w:p w14:paraId="361A23AF" w14:textId="294E79E1" w:rsidR="00D070FF" w:rsidRDefault="00D070FF" w:rsidP="00D070FF">
      <w:pPr>
        <w:spacing w:line="276" w:lineRule="auto"/>
      </w:pPr>
      <w:r>
        <w:t xml:space="preserve">3) Private organisaties die ofwel een adviserende/uitvoerende rol hebben in grondwatervraagstukken van bestuursorganen of andere private organisaties, ofwel vanuit hun eigen behoefte grondwatergebruiksgegevens willen gebruiken: </w:t>
      </w:r>
    </w:p>
    <w:p w14:paraId="04519958" w14:textId="42A683E1" w:rsidR="00C52106" w:rsidRDefault="00C52106" w:rsidP="00383D29">
      <w:pPr>
        <w:spacing w:line="276" w:lineRule="auto"/>
      </w:pPr>
    </w:p>
    <w:p w14:paraId="497479A5" w14:textId="77777777" w:rsidR="00C52106" w:rsidRDefault="00C52106" w:rsidP="00AF2C96">
      <w:pPr>
        <w:spacing w:line="276" w:lineRule="auto"/>
        <w:ind w:left="426" w:hanging="284"/>
      </w:pPr>
      <w:r>
        <w:t>•</w:t>
      </w:r>
      <w:r>
        <w:tab/>
        <w:t>Drinkwaterbedrijven</w:t>
      </w:r>
    </w:p>
    <w:p w14:paraId="146B7D05" w14:textId="77777777" w:rsidR="00C52106" w:rsidRDefault="00C52106" w:rsidP="00AF2C96">
      <w:pPr>
        <w:spacing w:line="276" w:lineRule="auto"/>
        <w:ind w:left="426" w:hanging="284"/>
      </w:pPr>
      <w:r>
        <w:t>•</w:t>
      </w:r>
      <w:r>
        <w:tab/>
        <w:t>Grondwateronttrekkende industrie</w:t>
      </w:r>
    </w:p>
    <w:p w14:paraId="7AA7E6A1" w14:textId="751F3374" w:rsidR="00C52106" w:rsidRDefault="00C52106" w:rsidP="00AF2C96">
      <w:pPr>
        <w:spacing w:line="276" w:lineRule="auto"/>
        <w:ind w:left="426" w:hanging="284"/>
      </w:pPr>
      <w:r>
        <w:t>•</w:t>
      </w:r>
      <w:r>
        <w:tab/>
        <w:t xml:space="preserve">(Ondiepe) </w:t>
      </w:r>
      <w:r w:rsidR="00AF2C96">
        <w:t>b</w:t>
      </w:r>
      <w:r>
        <w:t>odemenergie-exploitanten (</w:t>
      </w:r>
      <w:r w:rsidR="00AF2C96">
        <w:t>b</w:t>
      </w:r>
      <w:r>
        <w:t xml:space="preserve">edrijven, </w:t>
      </w:r>
      <w:r w:rsidR="00AF2C96">
        <w:t>z</w:t>
      </w:r>
      <w:r>
        <w:t>iekenhuizen, overige instellingen)</w:t>
      </w:r>
    </w:p>
    <w:p w14:paraId="1647A913" w14:textId="77777777" w:rsidR="00C52106" w:rsidRDefault="00C52106" w:rsidP="00AF2C96">
      <w:pPr>
        <w:spacing w:line="276" w:lineRule="auto"/>
        <w:ind w:left="426" w:hanging="284"/>
      </w:pPr>
      <w:r>
        <w:t>•</w:t>
      </w:r>
      <w:r>
        <w:tab/>
        <w:t>Natuurterreinbeheersorganisaties</w:t>
      </w:r>
    </w:p>
    <w:p w14:paraId="562DF7AC" w14:textId="4905E0F3" w:rsidR="00C52106" w:rsidRDefault="00C52106" w:rsidP="00AF2C96">
      <w:pPr>
        <w:spacing w:line="276" w:lineRule="auto"/>
        <w:ind w:left="426" w:hanging="284"/>
      </w:pPr>
      <w:r>
        <w:t>•</w:t>
      </w:r>
      <w:r>
        <w:tab/>
        <w:t>Exploitanten van ondiepe minerale delfstoffen (zand/grind/klei)</w:t>
      </w:r>
    </w:p>
    <w:p w14:paraId="3C835D0C" w14:textId="035AE27D" w:rsidR="00C52106" w:rsidRDefault="00C52106" w:rsidP="00AF2C96">
      <w:pPr>
        <w:spacing w:line="276" w:lineRule="auto"/>
        <w:ind w:left="426" w:hanging="284"/>
      </w:pPr>
      <w:r>
        <w:t>•</w:t>
      </w:r>
      <w:r>
        <w:tab/>
        <w:t>Pro</w:t>
      </w:r>
      <w:r w:rsidR="007F7277">
        <w:t>R</w:t>
      </w:r>
      <w:r>
        <w:t>ail</w:t>
      </w:r>
    </w:p>
    <w:p w14:paraId="16956DDA" w14:textId="4B379BF3" w:rsidR="00C52106" w:rsidRDefault="00C52106" w:rsidP="00AF2C96">
      <w:pPr>
        <w:spacing w:line="276" w:lineRule="auto"/>
        <w:ind w:left="426" w:hanging="284"/>
      </w:pPr>
      <w:r>
        <w:t>•</w:t>
      </w:r>
      <w:r>
        <w:tab/>
        <w:t>Gasunie</w:t>
      </w:r>
      <w:r w:rsidR="00D070FF">
        <w:t xml:space="preserve"> en nutsbedrijven</w:t>
      </w:r>
    </w:p>
    <w:p w14:paraId="00A55791" w14:textId="77777777" w:rsidR="00C52106" w:rsidRDefault="00C52106" w:rsidP="00AF2C96">
      <w:pPr>
        <w:spacing w:line="276" w:lineRule="auto"/>
        <w:ind w:left="426" w:hanging="284"/>
      </w:pPr>
      <w:r>
        <w:t>•</w:t>
      </w:r>
      <w:r>
        <w:tab/>
        <w:t>Marktpartijen: advies</w:t>
      </w:r>
      <w:r w:rsidR="00D22F11">
        <w:t xml:space="preserve">- en </w:t>
      </w:r>
      <w:r>
        <w:t>ingenieursbureaus, veldwerkbureau</w:t>
      </w:r>
      <w:r w:rsidR="00D22F11">
        <w:t>s</w:t>
      </w:r>
    </w:p>
    <w:p w14:paraId="621D10CB" w14:textId="77777777" w:rsidR="00C52106" w:rsidRDefault="00C52106" w:rsidP="00AF2C96">
      <w:pPr>
        <w:spacing w:line="276" w:lineRule="auto"/>
        <w:ind w:left="426" w:hanging="284"/>
      </w:pPr>
      <w:r>
        <w:t>•</w:t>
      </w:r>
      <w:r>
        <w:tab/>
        <w:t>Kennisinstellingen, universiteiten en adviescommissies</w:t>
      </w:r>
    </w:p>
    <w:p w14:paraId="101A21A7" w14:textId="77777777" w:rsidR="00C52106" w:rsidRDefault="00C52106" w:rsidP="00AF2C96">
      <w:pPr>
        <w:spacing w:line="276" w:lineRule="auto"/>
        <w:ind w:left="426" w:hanging="284"/>
      </w:pPr>
      <w:r>
        <w:t>•</w:t>
      </w:r>
      <w:r>
        <w:tab/>
        <w:t>Brancheorganisaties, zoals VEWIN (waterbedrijven), BodemenergieNL</w:t>
      </w:r>
    </w:p>
    <w:p w14:paraId="5589C3CE" w14:textId="2A18788A" w:rsidR="00C52106" w:rsidRDefault="00C52106" w:rsidP="00AF2C96">
      <w:pPr>
        <w:spacing w:line="276" w:lineRule="auto"/>
        <w:ind w:left="426" w:hanging="284"/>
      </w:pPr>
      <w:r>
        <w:t>•</w:t>
      </w:r>
      <w:r>
        <w:tab/>
        <w:t>NGO’s zoals Greenpeace</w:t>
      </w:r>
      <w:r w:rsidR="00AF2C96">
        <w:t xml:space="preserve"> en</w:t>
      </w:r>
      <w:r>
        <w:t xml:space="preserve"> Milieudefensie</w:t>
      </w:r>
    </w:p>
    <w:p w14:paraId="2129A242" w14:textId="77777777" w:rsidR="00C52106" w:rsidRDefault="00C52106" w:rsidP="00AF2C96">
      <w:pPr>
        <w:spacing w:line="276" w:lineRule="auto"/>
        <w:ind w:left="426" w:hanging="284"/>
      </w:pPr>
      <w:r>
        <w:t>•</w:t>
      </w:r>
      <w:r>
        <w:tab/>
        <w:t>Burgers of burgerorganisaties</w:t>
      </w:r>
    </w:p>
    <w:p w14:paraId="75D2A996" w14:textId="09990D90" w:rsidR="00D22F11" w:rsidRDefault="00D22F11" w:rsidP="00383D29">
      <w:pPr>
        <w:spacing w:line="276" w:lineRule="auto"/>
        <w:rPr>
          <w:b/>
          <w:bCs/>
        </w:rPr>
      </w:pPr>
    </w:p>
    <w:p w14:paraId="2DC0E444" w14:textId="77777777" w:rsidR="00C52106" w:rsidRPr="00E8638B" w:rsidRDefault="00C52106" w:rsidP="00383D29">
      <w:pPr>
        <w:spacing w:line="276" w:lineRule="auto"/>
        <w:rPr>
          <w:b/>
          <w:bCs/>
          <w:color w:val="auto"/>
        </w:rPr>
      </w:pPr>
      <w:r w:rsidRPr="00E8638B">
        <w:rPr>
          <w:b/>
          <w:bCs/>
          <w:color w:val="auto"/>
        </w:rPr>
        <w:t>Gremia</w:t>
      </w:r>
    </w:p>
    <w:p w14:paraId="5C01D972" w14:textId="77777777" w:rsidR="00C52106" w:rsidRDefault="00C52106" w:rsidP="00383D29">
      <w:pPr>
        <w:spacing w:line="276" w:lineRule="auto"/>
      </w:pPr>
      <w:r>
        <w:t>De stakeholders zijn georganiseerd in de volgende overlegstructuren en kennisuitwisselingsplatformen:</w:t>
      </w:r>
    </w:p>
    <w:p w14:paraId="4DFFD4F6" w14:textId="77777777" w:rsidR="00C52106" w:rsidRDefault="00C52106" w:rsidP="00383D29">
      <w:pPr>
        <w:spacing w:line="276" w:lineRule="auto"/>
      </w:pPr>
    </w:p>
    <w:p w14:paraId="2142104D" w14:textId="282E8335" w:rsidR="00E8638B" w:rsidRDefault="00C52106" w:rsidP="00E8638B">
      <w:pPr>
        <w:spacing w:line="276" w:lineRule="auto"/>
        <w:ind w:left="426" w:hanging="284"/>
        <w:rPr>
          <w:i/>
          <w:iCs/>
        </w:rPr>
      </w:pPr>
      <w:r>
        <w:t>•</w:t>
      </w:r>
      <w:r>
        <w:tab/>
      </w:r>
      <w:r w:rsidR="00E8638B">
        <w:t xml:space="preserve"> </w:t>
      </w:r>
      <w:r w:rsidR="00E8638B" w:rsidRPr="00E8638B">
        <w:rPr>
          <w:i/>
          <w:iCs/>
        </w:rPr>
        <w:t>Werkgroep LGR </w:t>
      </w:r>
    </w:p>
    <w:p w14:paraId="070A10AD" w14:textId="77777777" w:rsidR="00E8638B" w:rsidRDefault="00E8638B" w:rsidP="006D748D">
      <w:pPr>
        <w:pStyle w:val="Lijstalinea"/>
        <w:numPr>
          <w:ilvl w:val="0"/>
          <w:numId w:val="37"/>
        </w:numPr>
        <w:spacing w:line="276" w:lineRule="auto"/>
        <w:rPr>
          <w:i/>
          <w:iCs/>
        </w:rPr>
      </w:pPr>
      <w:r w:rsidRPr="00E8638B">
        <w:rPr>
          <w:i/>
          <w:iCs/>
        </w:rPr>
        <w:t>Brancheorganisatie bodemenergieadviesuers Bodemenergie.nl</w:t>
      </w:r>
    </w:p>
    <w:p w14:paraId="2575417E" w14:textId="77777777" w:rsidR="00E8638B" w:rsidRPr="00E8638B" w:rsidRDefault="00E8638B" w:rsidP="006D748D">
      <w:pPr>
        <w:pStyle w:val="Lijstalinea"/>
        <w:numPr>
          <w:ilvl w:val="0"/>
          <w:numId w:val="37"/>
        </w:numPr>
        <w:spacing w:line="276" w:lineRule="auto"/>
        <w:rPr>
          <w:i/>
          <w:iCs/>
        </w:rPr>
      </w:pPr>
      <w:r w:rsidRPr="00E8638B">
        <w:rPr>
          <w:i/>
          <w:iCs/>
        </w:rPr>
        <w:t>Brancheorganisatie waterbedrijven VEWIN</w:t>
      </w:r>
      <w:r w:rsidR="00C52106">
        <w:t>•</w:t>
      </w:r>
      <w:r w:rsidR="00C52106">
        <w:tab/>
      </w:r>
    </w:p>
    <w:p w14:paraId="5A8BB616" w14:textId="585796B2" w:rsidR="00D22F11" w:rsidRDefault="00C52106" w:rsidP="00D20841">
      <w:pPr>
        <w:spacing w:line="276" w:lineRule="auto"/>
        <w:ind w:left="426" w:hanging="284"/>
      </w:pPr>
      <w:r>
        <w:t>•</w:t>
      </w:r>
      <w:r>
        <w:tab/>
      </w:r>
      <w:r w:rsidRPr="00D20841">
        <w:rPr>
          <w:i/>
          <w:iCs/>
        </w:rPr>
        <w:t>STOWA Adviesgroep Watersysteemanalyse</w:t>
      </w:r>
      <w:r>
        <w:t xml:space="preserve">: </w:t>
      </w:r>
      <w:r w:rsidR="00BC49F9">
        <w:t>d</w:t>
      </w:r>
      <w:r>
        <w:t>e</w:t>
      </w:r>
      <w:r w:rsidR="00D20841">
        <w:t>ze</w:t>
      </w:r>
      <w:r>
        <w:t xml:space="preserve"> </w:t>
      </w:r>
      <w:r w:rsidR="00D20841">
        <w:t>a</w:t>
      </w:r>
      <w:r>
        <w:t xml:space="preserve">dviesgroep </w:t>
      </w:r>
      <w:r w:rsidR="00D20841">
        <w:t>adviseert</w:t>
      </w:r>
      <w:r>
        <w:t xml:space="preserve"> de Programmacommissie Watersysteemonderzoek van STOWA op het gebied van modellering en watersysteemanalyses. De focus van de adviesgroep ligt op</w:t>
      </w:r>
      <w:r w:rsidR="00D22F11">
        <w:t>:</w:t>
      </w:r>
    </w:p>
    <w:p w14:paraId="19A2F798" w14:textId="77BF82E5" w:rsidR="00C52106" w:rsidRDefault="00C52106" w:rsidP="00D20841">
      <w:pPr>
        <w:spacing w:line="276" w:lineRule="auto"/>
        <w:ind w:left="426" w:hanging="284"/>
      </w:pPr>
      <w:r>
        <w:t>•</w:t>
      </w:r>
      <w:r>
        <w:tab/>
      </w:r>
      <w:r w:rsidRPr="00D20841">
        <w:rPr>
          <w:i/>
          <w:iCs/>
        </w:rPr>
        <w:t>UvW Themagroep Grondwater en Ondergrond</w:t>
      </w:r>
      <w:r>
        <w:t>: een strategisch en beleidsmatig platform van de waterschappen voor uitwisseling van kennis en ervaring.</w:t>
      </w:r>
    </w:p>
    <w:p w14:paraId="1C013639" w14:textId="49AB7A76" w:rsidR="00C52106" w:rsidRDefault="00C52106" w:rsidP="00D20841">
      <w:pPr>
        <w:spacing w:line="276" w:lineRule="auto"/>
        <w:ind w:left="426" w:hanging="284"/>
      </w:pPr>
      <w:r>
        <w:t>•</w:t>
      </w:r>
      <w:r>
        <w:tab/>
      </w:r>
      <w:r w:rsidRPr="00D20841">
        <w:rPr>
          <w:i/>
          <w:iCs/>
        </w:rPr>
        <w:t>Werkgroep Stedelijk Grondwater</w:t>
      </w:r>
      <w:r>
        <w:t xml:space="preserve">: </w:t>
      </w:r>
      <w:r w:rsidR="00BC49F9">
        <w:t>d</w:t>
      </w:r>
      <w:r>
        <w:t>e</w:t>
      </w:r>
      <w:r w:rsidR="00D20841">
        <w:t>ze</w:t>
      </w:r>
      <w:r>
        <w:t xml:space="preserve"> landelijke </w:t>
      </w:r>
      <w:r w:rsidR="00D20841">
        <w:t xml:space="preserve">werkgroep </w:t>
      </w:r>
      <w:r>
        <w:t xml:space="preserve">is een onafhankelijk forum voor uitwisseling van kennis op </w:t>
      </w:r>
      <w:r w:rsidR="00D20841">
        <w:t>het</w:t>
      </w:r>
      <w:r>
        <w:t xml:space="preserve"> gebied</w:t>
      </w:r>
      <w:r w:rsidR="00D20841">
        <w:t xml:space="preserve"> van stedelijk grondwater</w:t>
      </w:r>
      <w:r>
        <w:t>. De werkgroep organiseert regelmatig bijeenkomsten met wisselende onderwerpen.</w:t>
      </w:r>
    </w:p>
    <w:p w14:paraId="7589DE6D" w14:textId="24D36980" w:rsidR="00C52106" w:rsidRDefault="00C52106" w:rsidP="00D20841">
      <w:pPr>
        <w:spacing w:line="276" w:lineRule="auto"/>
        <w:ind w:left="426" w:hanging="284"/>
      </w:pPr>
      <w:r>
        <w:lastRenderedPageBreak/>
        <w:t>•</w:t>
      </w:r>
      <w:r>
        <w:tab/>
      </w:r>
      <w:r w:rsidRPr="00D20841">
        <w:rPr>
          <w:i/>
          <w:iCs/>
        </w:rPr>
        <w:t>Nederlandse Hydrologische Vereniging</w:t>
      </w:r>
      <w:r>
        <w:t>: deze beroepsvereniging</w:t>
      </w:r>
      <w:r w:rsidR="00D20841">
        <w:t xml:space="preserve"> </w:t>
      </w:r>
      <w:r>
        <w:t>bevordert de uitoefening van de hydrologie, de wetenschap die de kringloop van het water boven, op en onder het aardoppervlak bestudeert.</w:t>
      </w:r>
    </w:p>
    <w:p w14:paraId="452704DE" w14:textId="6E6C4BAF" w:rsidR="00C52106" w:rsidRDefault="00C52106" w:rsidP="00D20841">
      <w:pPr>
        <w:spacing w:line="276" w:lineRule="auto"/>
        <w:ind w:left="426" w:hanging="284"/>
      </w:pPr>
      <w:r>
        <w:t>•</w:t>
      </w:r>
      <w:r>
        <w:tab/>
      </w:r>
      <w:r w:rsidRPr="00D20841">
        <w:rPr>
          <w:i/>
          <w:iCs/>
        </w:rPr>
        <w:t>Contactgroep Putten</w:t>
      </w:r>
      <w:r>
        <w:t xml:space="preserve">: dit overlegorgaan van puttenexperts van de Nederlandse </w:t>
      </w:r>
      <w:r w:rsidR="00D20841">
        <w:t>(</w:t>
      </w:r>
      <w:r>
        <w:t xml:space="preserve">en </w:t>
      </w:r>
      <w:r w:rsidR="00D20841">
        <w:t>een aantal</w:t>
      </w:r>
      <w:r>
        <w:t xml:space="preserve"> Vlaamse</w:t>
      </w:r>
      <w:r w:rsidR="00D20841">
        <w:t>)</w:t>
      </w:r>
      <w:r>
        <w:t xml:space="preserve"> drinkwaterbedrijven besteedt ook aandacht aan </w:t>
      </w:r>
      <w:r w:rsidR="00ED5299">
        <w:t xml:space="preserve">de </w:t>
      </w:r>
      <w:r>
        <w:t>technische aspecten van grondwatermonitoring.</w:t>
      </w:r>
    </w:p>
    <w:p w14:paraId="04F28980" w14:textId="56A772E7" w:rsidR="00C52106" w:rsidRDefault="00C52106" w:rsidP="00D20841">
      <w:pPr>
        <w:spacing w:line="276" w:lineRule="auto"/>
        <w:ind w:left="426" w:hanging="284"/>
      </w:pPr>
      <w:r>
        <w:t>•</w:t>
      </w:r>
      <w:r>
        <w:tab/>
      </w:r>
      <w:r w:rsidRPr="00BC49F9">
        <w:rPr>
          <w:i/>
          <w:iCs/>
        </w:rPr>
        <w:t>NHI</w:t>
      </w:r>
      <w:r w:rsidR="00703AFE">
        <w:rPr>
          <w:i/>
          <w:iCs/>
        </w:rPr>
        <w:t>-</w:t>
      </w:r>
      <w:r w:rsidRPr="00BC49F9">
        <w:rPr>
          <w:i/>
          <w:iCs/>
        </w:rPr>
        <w:t>programmateam, NHI</w:t>
      </w:r>
      <w:r w:rsidR="00D22F11" w:rsidRPr="00BC49F9">
        <w:rPr>
          <w:i/>
          <w:iCs/>
        </w:rPr>
        <w:t>-</w:t>
      </w:r>
      <w:r w:rsidRPr="00BC49F9">
        <w:rPr>
          <w:i/>
          <w:iCs/>
        </w:rPr>
        <w:t>uitvoeringsteam en NHI</w:t>
      </w:r>
      <w:r w:rsidR="00D22F11" w:rsidRPr="00BC49F9">
        <w:rPr>
          <w:i/>
          <w:iCs/>
        </w:rPr>
        <w:t>-</w:t>
      </w:r>
      <w:r w:rsidRPr="00BC49F9">
        <w:rPr>
          <w:i/>
          <w:iCs/>
        </w:rPr>
        <w:t>begeleidingscommissie database:</w:t>
      </w:r>
      <w:r>
        <w:t xml:space="preserve"> </w:t>
      </w:r>
      <w:r w:rsidR="00BC49F9">
        <w:t xml:space="preserve">in deze groepen, die zijn ingesteld </w:t>
      </w:r>
      <w:r>
        <w:t>vanuit het Nederlands Hydrologisch Instrumentarium</w:t>
      </w:r>
      <w:r w:rsidR="00BC49F9">
        <w:t>, zijn</w:t>
      </w:r>
      <w:r>
        <w:t xml:space="preserve"> de opdrachtgevende organisatie, de uitvoerende organisaties en stakeholders op het gebied van database-ondersteuning vertegenwoordigd.  </w:t>
      </w:r>
    </w:p>
    <w:p w14:paraId="6E093D77" w14:textId="77777777" w:rsidR="00C52106" w:rsidRDefault="00C52106" w:rsidP="00383D29">
      <w:pPr>
        <w:spacing w:line="276" w:lineRule="auto"/>
      </w:pPr>
    </w:p>
    <w:p w14:paraId="73880207" w14:textId="77777777" w:rsidR="00C52106" w:rsidRDefault="00C52106" w:rsidP="00383D29">
      <w:pPr>
        <w:spacing w:line="276" w:lineRule="auto"/>
      </w:pPr>
      <w:r>
        <w:br w:type="page"/>
      </w:r>
    </w:p>
    <w:p w14:paraId="1F7AFFBA" w14:textId="633E3C4E" w:rsidR="00533CA2" w:rsidRDefault="00B35B80" w:rsidP="00B06534">
      <w:pPr>
        <w:pStyle w:val="Kop1"/>
        <w:ind w:left="1134" w:hanging="1134"/>
      </w:pPr>
      <w:bookmarkStart w:id="7" w:name="_Toc39233679"/>
      <w:r>
        <w:lastRenderedPageBreak/>
        <w:t>4.</w:t>
      </w:r>
      <w:r>
        <w:tab/>
      </w:r>
      <w:r w:rsidR="005E1DFD">
        <w:t>B</w:t>
      </w:r>
      <w:r w:rsidR="00533CA2">
        <w:t xml:space="preserve">estaande </w:t>
      </w:r>
      <w:r w:rsidR="00533CA2" w:rsidRPr="00B06534">
        <w:t>softwaresystemen</w:t>
      </w:r>
      <w:bookmarkEnd w:id="7"/>
    </w:p>
    <w:p w14:paraId="4FD304CB" w14:textId="77777777" w:rsidR="00E8638B" w:rsidRPr="00E8638B" w:rsidRDefault="00E8638B" w:rsidP="00E8638B">
      <w:pPr>
        <w:spacing w:line="276" w:lineRule="auto"/>
        <w:rPr>
          <w:u w:val="single"/>
        </w:rPr>
      </w:pPr>
      <w:r w:rsidRPr="00E8638B">
        <w:rPr>
          <w:u w:val="single"/>
        </w:rPr>
        <w:t>Ontwerp</w:t>
      </w:r>
    </w:p>
    <w:p w14:paraId="57543154" w14:textId="77777777" w:rsidR="00E8638B" w:rsidRDefault="00E8638B" w:rsidP="00E8638B">
      <w:pPr>
        <w:spacing w:line="276" w:lineRule="auto"/>
      </w:pPr>
      <w:r>
        <w:t>Ten behoeve van ontwerp van grondwatergebruiksystemen worden  door vergunningnemers en/of hun adviseurs simulatie software gebruikt waarmee grondwater/temperatuurstroming wordt gesimuleerd, zoals FeFlow, Visual ModFlow en Earth Energy Designer.</w:t>
      </w:r>
    </w:p>
    <w:p w14:paraId="53F54D63" w14:textId="77777777" w:rsidR="00E8638B" w:rsidRDefault="00E8638B" w:rsidP="00E8638B">
      <w:pPr>
        <w:spacing w:line="276" w:lineRule="auto"/>
      </w:pPr>
    </w:p>
    <w:p w14:paraId="04A6C20F" w14:textId="77777777" w:rsidR="00E8638B" w:rsidRPr="00E8638B" w:rsidRDefault="00E8638B" w:rsidP="00E8638B">
      <w:pPr>
        <w:spacing w:line="276" w:lineRule="auto"/>
        <w:rPr>
          <w:u w:val="single"/>
        </w:rPr>
      </w:pPr>
      <w:r w:rsidRPr="00E8638B">
        <w:rPr>
          <w:u w:val="single"/>
        </w:rPr>
        <w:t>Vergunningverlening Toezicht en Handhaving (VTH) </w:t>
      </w:r>
    </w:p>
    <w:p w14:paraId="29B291C5" w14:textId="77777777" w:rsidR="00E8638B" w:rsidRDefault="00E8638B" w:rsidP="00E8638B">
      <w:pPr>
        <w:spacing w:line="276" w:lineRule="auto"/>
      </w:pPr>
      <w:r>
        <w:t>In het vergunningstraject wordt, nadat gegevens via  portalen  zoals Omgevingsloket/ActiviteitenbesluitInternetModule zijn aangeleverd, door bevoegd gezagen of hun uitvoeringsdiensten  gebruik gemaakt van commerciele zaaksystemen.  </w:t>
      </w:r>
    </w:p>
    <w:p w14:paraId="44A6589B" w14:textId="77777777" w:rsidR="00E8638B" w:rsidRDefault="00E8638B" w:rsidP="00E8638B">
      <w:pPr>
        <w:spacing w:line="276" w:lineRule="auto"/>
      </w:pPr>
    </w:p>
    <w:p w14:paraId="04CA843C" w14:textId="5273EF0B" w:rsidR="00E8638B" w:rsidRPr="00E8638B" w:rsidRDefault="00E8638B" w:rsidP="00E8638B">
      <w:pPr>
        <w:spacing w:line="276" w:lineRule="auto"/>
        <w:rPr>
          <w:i/>
          <w:iCs/>
        </w:rPr>
      </w:pPr>
      <w:r w:rsidRPr="00E8638B">
        <w:rPr>
          <w:i/>
          <w:iCs/>
        </w:rPr>
        <w:t>Mozard zaaksysteem</w:t>
      </w:r>
    </w:p>
    <w:p w14:paraId="6A97D86A" w14:textId="77777777" w:rsidR="00E8638B" w:rsidRDefault="00E8638B" w:rsidP="00E8638B">
      <w:pPr>
        <w:spacing w:line="276" w:lineRule="auto"/>
      </w:pPr>
      <w:r>
        <w:t>Het webbasd Mozard zaaksysteem  is gebaseerd op de uitgangspunten van zaakgericht werken en voldoet aan de standaarden van het GFO zaken (Gemeentelijk Functioneel Ontwerp) en de RGBZ ( Referentiemodel Gemeentelijke Basisgegevens Zaken).  Middels o.a. het doorlopen van statussen, het zetten van checks, het vullen van kenmerken en het toevoegen van documenten, wordt de zaak behandeld in het zaaksysteem. Het Mozard Zaaksysteem is NEN 2082 gecertificeerd. </w:t>
      </w:r>
    </w:p>
    <w:p w14:paraId="2E6B6E7B" w14:textId="77777777" w:rsidR="00E8638B" w:rsidRDefault="00E8638B" w:rsidP="00E8638B">
      <w:pPr>
        <w:spacing w:line="276" w:lineRule="auto"/>
      </w:pPr>
    </w:p>
    <w:p w14:paraId="2D313FD9" w14:textId="3CA20375" w:rsidR="00E8638B" w:rsidRPr="00E8638B" w:rsidRDefault="00E8638B" w:rsidP="00E8638B">
      <w:pPr>
        <w:spacing w:line="276" w:lineRule="auto"/>
        <w:rPr>
          <w:i/>
          <w:iCs/>
        </w:rPr>
      </w:pPr>
      <w:r w:rsidRPr="00E8638B">
        <w:rPr>
          <w:i/>
          <w:iCs/>
        </w:rPr>
        <w:t>Squit 2020 Squit XO</w:t>
      </w:r>
    </w:p>
    <w:p w14:paraId="441DC629" w14:textId="6E13AF75" w:rsidR="00E8638B" w:rsidRDefault="00E8638B" w:rsidP="00E8638B">
      <w:pPr>
        <w:spacing w:line="276" w:lineRule="auto"/>
      </w:pPr>
      <w:r>
        <w:t>De Squit 20/20 Suite  is een zaaksysteem voor het omgevingsdomein waarin bouwprojecten, vergunningverlening, toezicht, handhaving en de ondergrond afgehandeld kunnen worden.  Het systeem  heeft drie deelproducten  die zijn gericht op 1. Procesondersteuning  2. Het Omgevingsdossier   3. De Samenwerkingsruimte</w:t>
      </w:r>
      <w:r>
        <w:t>.</w:t>
      </w:r>
    </w:p>
    <w:p w14:paraId="043F199D" w14:textId="77777777" w:rsidR="00E8638B" w:rsidRDefault="00E8638B">
      <w:pPr>
        <w:spacing w:line="240" w:lineRule="auto"/>
      </w:pPr>
      <w:r>
        <w:br w:type="page"/>
      </w:r>
    </w:p>
    <w:p w14:paraId="22372CD1" w14:textId="7165C69A" w:rsidR="000A5867" w:rsidRPr="000A5867" w:rsidRDefault="00B35B80" w:rsidP="00E8638B">
      <w:pPr>
        <w:pStyle w:val="Kop1"/>
        <w:ind w:left="1134" w:hanging="1134"/>
      </w:pPr>
      <w:bookmarkStart w:id="8" w:name="_Toc39233680"/>
      <w:r w:rsidRPr="00FC1D70">
        <w:lastRenderedPageBreak/>
        <w:t>5.</w:t>
      </w:r>
      <w:r w:rsidRPr="00FC1D70">
        <w:tab/>
      </w:r>
      <w:r w:rsidR="00785504" w:rsidRPr="00FC1D70">
        <w:t>Bestaande registraties</w:t>
      </w:r>
      <w:bookmarkEnd w:id="8"/>
    </w:p>
    <w:p w14:paraId="5A807BF9" w14:textId="77777777" w:rsidR="00E8638B" w:rsidRDefault="00E8638B" w:rsidP="00E8638B">
      <w:pPr>
        <w:spacing w:line="240" w:lineRule="auto"/>
      </w:pPr>
      <w:r>
        <w:t>In de wet BRO is vastgelegd dat de gegevens uit de registraties DINO (van TNO-GDN) en BIS (van WENR) ingebracht moeten worden in de BRO, voor zover de informatie relevant is en voldoet aan de gegevensinhoudelijke eisen. Voor dit registratiedomein geldt echter dat noch DINO, noch BIS gegevens bevatten die onder dit domein vallen.</w:t>
      </w:r>
    </w:p>
    <w:p w14:paraId="0E20F3AD" w14:textId="77777777" w:rsidR="00E8638B" w:rsidRDefault="00E8638B" w:rsidP="00E8638B">
      <w:pPr>
        <w:spacing w:line="240" w:lineRule="auto"/>
      </w:pPr>
    </w:p>
    <w:p w14:paraId="2130DCC3" w14:textId="77777777" w:rsidR="00E8638B" w:rsidRDefault="00E8638B" w:rsidP="00E8638B">
      <w:pPr>
        <w:spacing w:line="240" w:lineRule="auto"/>
      </w:pPr>
      <w:r>
        <w:t>Daarnaast staat in de wet BRO dat organisaties historische gegevens met terugwerkende kracht in mogen brengen. Hiervoor geldt geen verplichting. Uitgangspunten zijn dan wel dat:</w:t>
      </w:r>
    </w:p>
    <w:p w14:paraId="6A91DF0F" w14:textId="77777777" w:rsidR="00E8638B" w:rsidRDefault="00E8638B" w:rsidP="00E8638B">
      <w:pPr>
        <w:spacing w:line="240" w:lineRule="auto"/>
      </w:pPr>
    </w:p>
    <w:p w14:paraId="79272175" w14:textId="725FFCDF" w:rsidR="00E8638B" w:rsidRDefault="00E8638B" w:rsidP="006D748D">
      <w:pPr>
        <w:pStyle w:val="Lijstalinea"/>
        <w:numPr>
          <w:ilvl w:val="0"/>
          <w:numId w:val="38"/>
        </w:numPr>
        <w:spacing w:line="240" w:lineRule="auto"/>
      </w:pPr>
      <w:r>
        <w:t>de gegevens voldoen aan de gegevensinhoudelijke eisen,</w:t>
      </w:r>
      <w:r w:rsidR="00DA01BC">
        <w:t xml:space="preserve"> Kwaliteitsregime IMBRO/A ( zie H9)</w:t>
      </w:r>
    </w:p>
    <w:p w14:paraId="6D3B6BA1" w14:textId="77777777" w:rsidR="00E8638B" w:rsidRDefault="00E8638B" w:rsidP="006D748D">
      <w:pPr>
        <w:pStyle w:val="Lijstalinea"/>
        <w:numPr>
          <w:ilvl w:val="0"/>
          <w:numId w:val="38"/>
        </w:numPr>
        <w:spacing w:line="240" w:lineRule="auto"/>
      </w:pPr>
      <w:r>
        <w:t>een bestuursorgaan de bronhouderverantwoordelijkheid draagt voor deze gegevens.</w:t>
      </w:r>
    </w:p>
    <w:p w14:paraId="1932EC45" w14:textId="77777777" w:rsidR="00E8638B" w:rsidRDefault="00E8638B" w:rsidP="00E8638B">
      <w:pPr>
        <w:spacing w:line="240" w:lineRule="auto"/>
      </w:pPr>
    </w:p>
    <w:p w14:paraId="1B9CEF82" w14:textId="78CB546D" w:rsidR="00E8638B" w:rsidRPr="00E8638B" w:rsidRDefault="00E8638B" w:rsidP="00E8638B">
      <w:pPr>
        <w:spacing w:line="240" w:lineRule="auto"/>
        <w:rPr>
          <w:u w:val="single"/>
        </w:rPr>
      </w:pPr>
      <w:r w:rsidRPr="00E8638B">
        <w:rPr>
          <w:u w:val="single"/>
        </w:rPr>
        <w:t>Landelijk Grondwater Register</w:t>
      </w:r>
      <w:r>
        <w:rPr>
          <w:u w:val="single"/>
        </w:rPr>
        <w:t xml:space="preserve"> (LGR)</w:t>
      </w:r>
    </w:p>
    <w:p w14:paraId="6E9D16FB" w14:textId="77777777" w:rsidR="00E8638B" w:rsidRDefault="00E8638B" w:rsidP="00E8638B">
      <w:pPr>
        <w:spacing w:line="240" w:lineRule="auto"/>
      </w:pPr>
    </w:p>
    <w:p w14:paraId="6CD304FB" w14:textId="77777777" w:rsidR="00E8638B" w:rsidRDefault="00E8638B" w:rsidP="00E8638B">
      <w:pPr>
        <w:spacing w:line="240" w:lineRule="auto"/>
      </w:pPr>
      <w:r>
        <w:t>Het LGR is een grote landsdekkende digitale kaartenbak waarin de toestand van het grondwatervoorraadbeheer van de provincie of het waterschap, op enig moment is vast te stellen. De gegevens in het LGR geven inzicht in de individuele vergunning of melding. De vergunning (het feitelijke besluit) zelf is niet opgenomen in het systeem. De gegevens over de daadwerkelijk onttrokken hoeveelheid geven inzicht in de omvang van de onttrekkingen in een bepaald gebied. Ook zijn deze gegevens de wettelijke en noodzakelijke basis voor het opleggen van de provinciale grondwaterheffingen. een groot deel van de bevoegd gezagen registreren hun gegevens tav vergunnings en meldingsplichtig grondwatergebruik in het LGR . Het LGR bevat gegevens van grondwatergebruiksystemen met  verschillende gebruiksdoelen. Globaal gezien omvat het LGR gegevens van: </w:t>
      </w:r>
    </w:p>
    <w:p w14:paraId="34C59370" w14:textId="77777777" w:rsidR="00E8638B" w:rsidRDefault="00E8638B" w:rsidP="00E8638B">
      <w:pPr>
        <w:spacing w:line="240" w:lineRule="auto"/>
      </w:pPr>
    </w:p>
    <w:p w14:paraId="02F4B473" w14:textId="77777777" w:rsidR="00E8638B" w:rsidRDefault="00E8638B" w:rsidP="006D748D">
      <w:pPr>
        <w:pStyle w:val="Lijstalinea"/>
        <w:numPr>
          <w:ilvl w:val="0"/>
          <w:numId w:val="39"/>
        </w:numPr>
        <w:spacing w:line="240" w:lineRule="auto"/>
      </w:pPr>
      <w:r>
        <w:t>96000 onttrekkingen (drinkwater, industriewater, beregening/veedrenking, bronbemaling, bodem/grondwatersanering)</w:t>
      </w:r>
    </w:p>
    <w:p w14:paraId="00BB51AF" w14:textId="77777777" w:rsidR="00E8638B" w:rsidRDefault="00E8638B" w:rsidP="006D748D">
      <w:pPr>
        <w:pStyle w:val="Lijstalinea"/>
        <w:numPr>
          <w:ilvl w:val="0"/>
          <w:numId w:val="39"/>
        </w:numPr>
        <w:spacing w:line="240" w:lineRule="auto"/>
      </w:pPr>
      <w:r>
        <w:t>230  infiltraties</w:t>
      </w:r>
    </w:p>
    <w:p w14:paraId="2D395901" w14:textId="77777777" w:rsidR="00E8638B" w:rsidRDefault="00E8638B" w:rsidP="006D748D">
      <w:pPr>
        <w:pStyle w:val="Lijstalinea"/>
        <w:numPr>
          <w:ilvl w:val="0"/>
          <w:numId w:val="39"/>
        </w:numPr>
        <w:spacing w:line="240" w:lineRule="auto"/>
      </w:pPr>
      <w:r>
        <w:t>2000 combinatie van onttrekking/infiltratie (incl. retourbemaling?)</w:t>
      </w:r>
    </w:p>
    <w:p w14:paraId="0C184F35" w14:textId="77777777" w:rsidR="00E8638B" w:rsidRDefault="00E8638B" w:rsidP="006D748D">
      <w:pPr>
        <w:pStyle w:val="Lijstalinea"/>
        <w:numPr>
          <w:ilvl w:val="0"/>
          <w:numId w:val="39"/>
        </w:numPr>
        <w:spacing w:line="240" w:lineRule="auto"/>
      </w:pPr>
      <w:r>
        <w:t>15000 open bodemenergiesystemen</w:t>
      </w:r>
    </w:p>
    <w:p w14:paraId="02F6BAA7" w14:textId="77777777" w:rsidR="00930592" w:rsidRDefault="00E8638B" w:rsidP="006D748D">
      <w:pPr>
        <w:pStyle w:val="Lijstalinea"/>
        <w:numPr>
          <w:ilvl w:val="0"/>
          <w:numId w:val="39"/>
        </w:numPr>
        <w:spacing w:line="240" w:lineRule="auto"/>
      </w:pPr>
      <w:r>
        <w:t>16000 gesloten bodemenergiesystemen </w:t>
      </w:r>
    </w:p>
    <w:p w14:paraId="5C33EF18" w14:textId="77777777" w:rsidR="00930592" w:rsidRDefault="00930592" w:rsidP="00930592">
      <w:pPr>
        <w:spacing w:line="240" w:lineRule="auto"/>
      </w:pPr>
    </w:p>
    <w:p w14:paraId="31D38BEE" w14:textId="77777777" w:rsidR="00DA01BC" w:rsidRDefault="00DA01BC" w:rsidP="00DA01BC">
      <w:pPr>
        <w:spacing w:line="240" w:lineRule="auto"/>
      </w:pPr>
      <w:r>
        <w:t>De gegevensinhoud van LGR overstijgt de beoogde gegevensinhoud van de BRO, omdat LGR niet alleen gegevens van algemeen belang herbergt, maar ook allerlei administratieve en financiele beheersgegevens van de vergunningen en meldingen die alleen voor bevoegd gezag van belang zijn.</w:t>
      </w:r>
    </w:p>
    <w:p w14:paraId="1BABFC56" w14:textId="77777777" w:rsidR="00DA01BC" w:rsidRDefault="00DA01BC" w:rsidP="00DA01BC">
      <w:pPr>
        <w:spacing w:line="240" w:lineRule="auto"/>
      </w:pPr>
    </w:p>
    <w:p w14:paraId="2FFC35AD" w14:textId="77777777" w:rsidR="00DA01BC" w:rsidRDefault="00DA01BC" w:rsidP="00DA01BC">
      <w:pPr>
        <w:spacing w:line="240" w:lineRule="auto"/>
      </w:pPr>
      <w:r>
        <w:t>De inhoud van het LGR is af te nemen via (InSpire compliant)uitgifte webservices.</w:t>
      </w:r>
    </w:p>
    <w:p w14:paraId="79A3FDCB" w14:textId="77777777" w:rsidR="00DA01BC" w:rsidRDefault="00DA01BC" w:rsidP="00DA01BC">
      <w:pPr>
        <w:spacing w:line="240" w:lineRule="auto"/>
      </w:pPr>
    </w:p>
    <w:p w14:paraId="6F8BE1BF" w14:textId="234C4DAF" w:rsidR="00930592" w:rsidRDefault="00DA01BC" w:rsidP="00DA01BC">
      <w:pPr>
        <w:spacing w:line="240" w:lineRule="auto"/>
      </w:pPr>
      <w:r>
        <w:t>Onderkend is dat het meerwaarde heeft om historische gegevens uit het LGR te migreren naar de BRO.</w:t>
      </w:r>
    </w:p>
    <w:p w14:paraId="6E3C1DFB" w14:textId="77777777" w:rsidR="00DA01BC" w:rsidRDefault="00DA01BC" w:rsidP="00DA01BC">
      <w:pPr>
        <w:spacing w:line="240" w:lineRule="auto"/>
      </w:pPr>
    </w:p>
    <w:p w14:paraId="427890CE" w14:textId="27E3EE5D" w:rsidR="00DA01BC" w:rsidRPr="00DA01BC" w:rsidRDefault="00DA01BC" w:rsidP="00DA01BC">
      <w:pPr>
        <w:spacing w:line="240" w:lineRule="auto"/>
        <w:rPr>
          <w:u w:val="single"/>
        </w:rPr>
      </w:pPr>
      <w:r w:rsidRPr="00DA01BC">
        <w:rPr>
          <w:u w:val="single"/>
        </w:rPr>
        <w:t>Zaaksystemen en lokale databases</w:t>
      </w:r>
    </w:p>
    <w:p w14:paraId="26580754" w14:textId="77777777" w:rsidR="00DA01BC" w:rsidRDefault="00DA01BC" w:rsidP="00DA01BC">
      <w:pPr>
        <w:spacing w:line="240" w:lineRule="auto"/>
      </w:pPr>
    </w:p>
    <w:p w14:paraId="1A1DE8DA" w14:textId="77777777" w:rsidR="00DA01BC" w:rsidRDefault="00DA01BC" w:rsidP="00DA01BC">
      <w:pPr>
        <w:spacing w:line="240" w:lineRule="auto"/>
      </w:pPr>
      <w:r>
        <w:t xml:space="preserve">Bevoegd gezagen die geen gebruik maken van het LGR,  beheren hun gegevens  in hun lokale zaaksysstemen (zie H4). Ook zijn er bevoegd </w:t>
      </w:r>
      <w:r>
        <w:lastRenderedPageBreak/>
        <w:t>gezagen/uitvoeringsdiensten die eigen lokale databases hebben, waarin zij bijvoorbeeld de gegevens van open bodemenergiesystemen beheren.   </w:t>
      </w:r>
    </w:p>
    <w:p w14:paraId="087AA3AD" w14:textId="77777777" w:rsidR="00DA01BC" w:rsidRDefault="00DA01BC" w:rsidP="00DA01BC">
      <w:pPr>
        <w:spacing w:line="240" w:lineRule="auto"/>
      </w:pPr>
    </w:p>
    <w:p w14:paraId="63E5EB54" w14:textId="77777777" w:rsidR="00DA01BC" w:rsidRPr="00DA01BC" w:rsidRDefault="00DA01BC" w:rsidP="00DA01BC">
      <w:pPr>
        <w:spacing w:line="240" w:lineRule="auto"/>
        <w:rPr>
          <w:u w:val="single"/>
        </w:rPr>
      </w:pPr>
      <w:r w:rsidRPr="00DA01BC">
        <w:rPr>
          <w:u w:val="single"/>
        </w:rPr>
        <w:t>Ontrekkingen database  Nationaal Hydrologisch Instrumentarium </w:t>
      </w:r>
    </w:p>
    <w:p w14:paraId="0681DA4C" w14:textId="77777777" w:rsidR="00DA01BC" w:rsidRDefault="00DA01BC" w:rsidP="00DA01BC">
      <w:pPr>
        <w:spacing w:line="240" w:lineRule="auto"/>
      </w:pPr>
    </w:p>
    <w:p w14:paraId="5DB356B6" w14:textId="3EA054D9" w:rsidR="00930592" w:rsidRDefault="00DA01BC" w:rsidP="00DA01BC">
      <w:pPr>
        <w:spacing w:line="240" w:lineRule="auto"/>
      </w:pPr>
      <w:r>
        <w:t>Deze database/webservice is een initatief van de gezamenlijke Nederlandse drinkwaterbedrijven, met als doel om gegevens van grondwateronttrekkingen op een uniforme manier en vanaf een centrale plek beschikbaar te stellen aan hydrologen en grondwatermodelleurs. Met de NHI-GWO  database en webservice functionaliteit kunnen grootschalige grondwateronttrekkingsgegevens in Nederland opgevraagd worden. Gegevens in het LGR wordt in de praktijk (van grondwatermodelleurs) als minder bruikbaar voor modellering beoordeeld. onder andere omdat de rapportage frequentie van geproduceerde hoeveelheden richting LGR te grofmazig is.  De NHI-GWO webservice is ontwikkeld door KWR Watercycle Research Institute en wordt beheerd door Deltares. De onttrekkingen-database is nog niet landsdekkend. De database is momenteel gevuld door/voor Brabant Water en WML, Vitens is bezig de database te vullen.  Deze gegevens zijn waarschijnlijk actueel,  en qua scope nog beperkt tot de onttrekkingen t.b.v. drinkwatervoorziening. Voorzien is dat de database verder wordt gevuld, en ook wordt uitgebreid voor industriele winningen.</w:t>
      </w:r>
    </w:p>
    <w:p w14:paraId="101B6CA3" w14:textId="77777777" w:rsidR="00930592" w:rsidRDefault="00930592" w:rsidP="00930592">
      <w:pPr>
        <w:spacing w:line="240" w:lineRule="auto"/>
      </w:pPr>
    </w:p>
    <w:p w14:paraId="3BB98584" w14:textId="441260E1" w:rsidR="002D0CA6" w:rsidRDefault="002D0CA6" w:rsidP="00930592">
      <w:pPr>
        <w:spacing w:line="240" w:lineRule="auto"/>
      </w:pPr>
      <w:r>
        <w:br w:type="page"/>
      </w:r>
    </w:p>
    <w:p w14:paraId="4595A12E" w14:textId="4BCEF813" w:rsidR="00533CA2" w:rsidRDefault="003039EA" w:rsidP="007E1F23">
      <w:pPr>
        <w:pStyle w:val="Kop1"/>
        <w:ind w:left="1134" w:hanging="1134"/>
      </w:pPr>
      <w:bookmarkStart w:id="9" w:name="_6._Wettelijk_kader"/>
      <w:bookmarkStart w:id="10" w:name="_Toc39233681"/>
      <w:bookmarkEnd w:id="9"/>
      <w:r>
        <w:lastRenderedPageBreak/>
        <w:t>6.</w:t>
      </w:r>
      <w:r>
        <w:tab/>
      </w:r>
      <w:r w:rsidR="00533CA2">
        <w:t xml:space="preserve">Wettelijk kader </w:t>
      </w:r>
      <w:r w:rsidR="008C069B">
        <w:t>en scopekeuzes</w:t>
      </w:r>
      <w:bookmarkEnd w:id="10"/>
    </w:p>
    <w:p w14:paraId="794EB871" w14:textId="77777777" w:rsidR="003312B9" w:rsidRDefault="003312B9" w:rsidP="003312B9">
      <w:pPr>
        <w:spacing w:line="276" w:lineRule="auto"/>
      </w:pPr>
      <w:r>
        <w:t>Het RO Grondwatergebruiksysteem is onderdeel van de vierde tranche van de BRO, welke op 01-01-2022 in werking treedt. Op dat moment is de OmgevingsWet (hierna OW) en het Besluit Activiteiten Leefomgeving (hierna BAL) operationeel en vormt zij het juridische kader rond de het RO grondwategebruik. Ten tijde van het schrijven van dit scopedocument is dat evenwel nog niet het geval en is de Waterwet vigerend.</w:t>
      </w:r>
    </w:p>
    <w:p w14:paraId="5C06C8D3" w14:textId="77777777" w:rsidR="003312B9" w:rsidRDefault="003312B9" w:rsidP="003312B9">
      <w:pPr>
        <w:spacing w:line="276" w:lineRule="auto"/>
      </w:pPr>
    </w:p>
    <w:p w14:paraId="0B533793" w14:textId="77777777" w:rsidR="003312B9" w:rsidRDefault="003312B9" w:rsidP="003312B9">
      <w:pPr>
        <w:spacing w:line="276" w:lineRule="auto"/>
      </w:pPr>
      <w:r>
        <w:t>Wet- en regelgeving bepalen welk orgaan bevoegd gezag is, welke activiteiten vergunning- of meldingsplichtig zijn en (op hoofdlijnen) welke gegevens wanneer aan het bevoegd gezag aangeleverd moeten worden. In dit hoofdstuk geven we een overzicht van deze zaken. Daarbij benoemen we zowel de huidige voorschriften. We onderscheiden twee soorten gegevens; enerzijds de vergunning- of meldinggegevens die éénmalig worden aangeleverd en anderzijds de productiecijfers die periodiek worden aangeleverd.</w:t>
      </w:r>
    </w:p>
    <w:p w14:paraId="1287AB9E" w14:textId="77777777" w:rsidR="003312B9" w:rsidRDefault="003312B9" w:rsidP="003312B9">
      <w:pPr>
        <w:spacing w:line="276" w:lineRule="auto"/>
      </w:pPr>
    </w:p>
    <w:p w14:paraId="79CF7C20" w14:textId="2AF7B1AC" w:rsidR="003312B9" w:rsidRPr="003312B9" w:rsidRDefault="003312B9" w:rsidP="003312B9">
      <w:pPr>
        <w:pStyle w:val="Kop2"/>
      </w:pPr>
      <w:r>
        <w:t xml:space="preserve">6.1 </w:t>
      </w:r>
      <w:r w:rsidRPr="003312B9">
        <w:t>Eenmalige gegevenslevering ihkv Vergunningverlening en of Meldingsplicht</w:t>
      </w:r>
    </w:p>
    <w:p w14:paraId="27D9CC84" w14:textId="77777777" w:rsidR="003312B9" w:rsidRDefault="003312B9" w:rsidP="003312B9">
      <w:pPr>
        <w:spacing w:line="276" w:lineRule="auto"/>
      </w:pPr>
    </w:p>
    <w:p w14:paraId="6987A537" w14:textId="77777777" w:rsidR="003312B9" w:rsidRDefault="003312B9" w:rsidP="003312B9">
      <w:pPr>
        <w:spacing w:line="276" w:lineRule="auto"/>
      </w:pPr>
      <w:r>
        <w:t>In de waterwet is in artikel 6.4 opgenomen welke grondwateronttrekking vergunningplichtig (industriële grondwateronttrekking groter dan 150.000 m3 per jaar, openbare drinkwatervoorzieningen en bodemenergiesystemen) zijn waarvoor de provincie bevoegd gezag is.</w:t>
      </w:r>
    </w:p>
    <w:p w14:paraId="13DA10D7" w14:textId="77777777" w:rsidR="003312B9" w:rsidRDefault="003312B9" w:rsidP="003312B9">
      <w:pPr>
        <w:spacing w:line="276" w:lineRule="auto"/>
      </w:pPr>
    </w:p>
    <w:p w14:paraId="2FC4C420" w14:textId="77777777" w:rsidR="003312B9" w:rsidRDefault="003312B9" w:rsidP="003312B9">
      <w:pPr>
        <w:spacing w:line="276" w:lineRule="auto"/>
      </w:pPr>
      <w:r>
        <w:t>In artikel 6.5 van de Waterwet is opgenomen dat voor grondwateronttrekkingen niet benoemd in artikel 6.4, het waterschap bevoegd gezag is. Tevens wordt het Rijk genoemd als bevoegd gezag, in artikel 6.10a van het Waterbesluit is uitgewerkt in welke situaties het Rijk bevoegd gezag is.</w:t>
      </w:r>
    </w:p>
    <w:p w14:paraId="2AA4C60F" w14:textId="77777777" w:rsidR="003312B9" w:rsidRDefault="003312B9" w:rsidP="003312B9">
      <w:pPr>
        <w:spacing w:line="276" w:lineRule="auto"/>
      </w:pPr>
    </w:p>
    <w:p w14:paraId="0E4EFD67" w14:textId="77777777" w:rsidR="003312B9" w:rsidRDefault="003312B9" w:rsidP="003312B9">
      <w:pPr>
        <w:spacing w:line="276" w:lineRule="auto"/>
      </w:pPr>
      <w:r>
        <w:t>Zonder algemene maatregel van bestuur zijn alle grondwateronttrekkingen vergunningplichtig, onafhankelijk van het gebruiksdoel en grootte . In artikel 6.6 van de Waterwet is opgenomen dat een bevoegd gezag een algemene maatregel van bestuur mag opstellen om af te wijken van de ze vergunningplicht. Voor waterschappen is dat de Keur (met de Omgevingswet wordt dat de Waterschapsverordening). Per waterschap is dus een verschil welke grondwateronttrekkingen vergunningplichtig zijn en welke meldingsplichtig zijn. (Volgens artikel 6.11 van het Waterbesluit moet een grondwater onttrekking minimaal gemeld worden, dit kan niet onder de zorgplicht)</w:t>
      </w:r>
    </w:p>
    <w:p w14:paraId="075C04A1" w14:textId="77777777" w:rsidR="003312B9" w:rsidRDefault="003312B9" w:rsidP="003312B9">
      <w:pPr>
        <w:spacing w:line="276" w:lineRule="auto"/>
      </w:pPr>
    </w:p>
    <w:p w14:paraId="25F09611" w14:textId="702A4E68" w:rsidR="005B6051" w:rsidRDefault="003312B9" w:rsidP="003312B9">
      <w:pPr>
        <w:spacing w:line="276" w:lineRule="auto"/>
      </w:pPr>
      <w:r>
        <w:t>In de Waterregeling is in artikel 6.27 opgenomen welke informatie zowel bij een melding als bij een vergunningaanvraag verstrekt moeten worden:</w:t>
      </w:r>
    </w:p>
    <w:p w14:paraId="0870A188" w14:textId="5B61650E" w:rsidR="005B6051" w:rsidRDefault="005B6051" w:rsidP="00383D29">
      <w:pPr>
        <w:spacing w:line="276" w:lineRule="auto"/>
      </w:pPr>
    </w:p>
    <w:p w14:paraId="6AC9E085" w14:textId="77777777" w:rsidR="003312B9" w:rsidRDefault="003312B9" w:rsidP="003312B9">
      <w:pPr>
        <w:pStyle w:val="Lijstalinea"/>
        <w:numPr>
          <w:ilvl w:val="0"/>
          <w:numId w:val="45"/>
        </w:numPr>
        <w:spacing w:line="276" w:lineRule="auto"/>
      </w:pPr>
      <w:r>
        <w:t>Gegevens zoals benoemd in artikel 6.19 van de Waterregeling:</w:t>
      </w:r>
    </w:p>
    <w:p w14:paraId="5DB72EF9" w14:textId="77777777" w:rsidR="003312B9" w:rsidRDefault="003312B9" w:rsidP="003312B9">
      <w:pPr>
        <w:pStyle w:val="Lijstalinea"/>
        <w:numPr>
          <w:ilvl w:val="0"/>
          <w:numId w:val="45"/>
        </w:numPr>
        <w:spacing w:line="276" w:lineRule="auto"/>
      </w:pPr>
      <w:r>
        <w:t>Naam, adres, woonplaats, telefoonnummer en emailadres aanvrager</w:t>
      </w:r>
    </w:p>
    <w:p w14:paraId="5791EC95" w14:textId="77777777" w:rsidR="003312B9" w:rsidRDefault="003312B9" w:rsidP="003312B9">
      <w:pPr>
        <w:pStyle w:val="Lijstalinea"/>
        <w:numPr>
          <w:ilvl w:val="0"/>
          <w:numId w:val="45"/>
        </w:numPr>
        <w:spacing w:line="276" w:lineRule="auto"/>
      </w:pPr>
      <w:r>
        <w:t>Geografische aanduiding locatie grondwateronttrekking (mbv situatietekening, kaart met ligging tov omgeving, foto’s of andere materialen)</w:t>
      </w:r>
    </w:p>
    <w:p w14:paraId="142E0013" w14:textId="77777777" w:rsidR="003312B9" w:rsidRDefault="003312B9" w:rsidP="003312B9">
      <w:pPr>
        <w:pStyle w:val="Lijstalinea"/>
        <w:numPr>
          <w:ilvl w:val="0"/>
          <w:numId w:val="45"/>
        </w:numPr>
        <w:spacing w:line="276" w:lineRule="auto"/>
      </w:pPr>
      <w:r>
        <w:t>Omschrijving aard, omvang, reden en doel van de grondwateronttrekking</w:t>
      </w:r>
    </w:p>
    <w:p w14:paraId="43C59A9D" w14:textId="77777777" w:rsidR="003312B9" w:rsidRDefault="003312B9" w:rsidP="003312B9">
      <w:pPr>
        <w:pStyle w:val="Lijstalinea"/>
        <w:numPr>
          <w:ilvl w:val="0"/>
          <w:numId w:val="45"/>
        </w:numPr>
        <w:spacing w:line="276" w:lineRule="auto"/>
      </w:pPr>
      <w:r>
        <w:t>Omschrijving aard en omvang van de gevolgen van de grondwateronttrekking</w:t>
      </w:r>
    </w:p>
    <w:p w14:paraId="0EC95E57" w14:textId="77777777" w:rsidR="003312B9" w:rsidRDefault="003312B9" w:rsidP="003312B9">
      <w:pPr>
        <w:pStyle w:val="Lijstalinea"/>
        <w:numPr>
          <w:ilvl w:val="0"/>
          <w:numId w:val="45"/>
        </w:numPr>
        <w:spacing w:line="276" w:lineRule="auto"/>
      </w:pPr>
      <w:r>
        <w:t>Periode waarin de grondwateronttrekking plaats moet vinden</w:t>
      </w:r>
    </w:p>
    <w:p w14:paraId="5E34F942" w14:textId="77777777" w:rsidR="003312B9" w:rsidRDefault="003312B9" w:rsidP="003312B9">
      <w:pPr>
        <w:pStyle w:val="Lijstalinea"/>
        <w:numPr>
          <w:ilvl w:val="0"/>
          <w:numId w:val="45"/>
        </w:numPr>
        <w:spacing w:line="276" w:lineRule="auto"/>
      </w:pPr>
      <w:r>
        <w:t>In geval de grondwateronttrekking voor een ander wordt uitgevoerd, zijn naam, adres, plaats, telefoonnummer en emailadres</w:t>
      </w:r>
    </w:p>
    <w:p w14:paraId="314B4806" w14:textId="77777777" w:rsidR="003312B9" w:rsidRDefault="003312B9" w:rsidP="003312B9">
      <w:pPr>
        <w:pStyle w:val="Lijstalinea"/>
        <w:numPr>
          <w:ilvl w:val="0"/>
          <w:numId w:val="45"/>
        </w:numPr>
        <w:spacing w:line="276" w:lineRule="auto"/>
      </w:pPr>
      <w:r>
        <w:t>In geval van machtiging, zijn naam, adres, woonplaats, telefoonnummer en emailadres</w:t>
      </w:r>
    </w:p>
    <w:p w14:paraId="3016C900" w14:textId="77777777" w:rsidR="003312B9" w:rsidRDefault="003312B9" w:rsidP="003312B9">
      <w:pPr>
        <w:pStyle w:val="Lijstalinea"/>
        <w:numPr>
          <w:ilvl w:val="0"/>
          <w:numId w:val="45"/>
        </w:numPr>
        <w:spacing w:line="276" w:lineRule="auto"/>
      </w:pPr>
      <w:r>
        <w:t>Het doel waarvoor het te onttrekken grondwater wordt gebruikt;</w:t>
      </w:r>
    </w:p>
    <w:p w14:paraId="7529CF07" w14:textId="77777777" w:rsidR="003312B9" w:rsidRDefault="003312B9" w:rsidP="003312B9">
      <w:pPr>
        <w:pStyle w:val="Lijstalinea"/>
        <w:numPr>
          <w:ilvl w:val="0"/>
          <w:numId w:val="45"/>
        </w:numPr>
        <w:spacing w:line="276" w:lineRule="auto"/>
      </w:pPr>
      <w:r>
        <w:t>Het aantal bestaande en nieuwe putten;</w:t>
      </w:r>
    </w:p>
    <w:p w14:paraId="5FF82B10" w14:textId="77777777" w:rsidR="003312B9" w:rsidRDefault="003312B9" w:rsidP="003312B9">
      <w:pPr>
        <w:pStyle w:val="Lijstalinea"/>
        <w:numPr>
          <w:ilvl w:val="0"/>
          <w:numId w:val="45"/>
        </w:numPr>
        <w:spacing w:line="276" w:lineRule="auto"/>
      </w:pPr>
      <w:r>
        <w:t>XY-coördinaten van de putten;</w:t>
      </w:r>
    </w:p>
    <w:p w14:paraId="4E98F7D4" w14:textId="77777777" w:rsidR="003312B9" w:rsidRDefault="003312B9" w:rsidP="003312B9">
      <w:pPr>
        <w:pStyle w:val="Lijstalinea"/>
        <w:numPr>
          <w:ilvl w:val="0"/>
          <w:numId w:val="45"/>
        </w:numPr>
        <w:spacing w:line="276" w:lineRule="auto"/>
      </w:pPr>
      <w:r>
        <w:t>Diepte geperforeerde gedeelte van filters t.o.v. maaiveld en NAP;</w:t>
      </w:r>
    </w:p>
    <w:p w14:paraId="5D6852E3" w14:textId="77777777" w:rsidR="003312B9" w:rsidRDefault="003312B9" w:rsidP="003312B9">
      <w:pPr>
        <w:pStyle w:val="Lijstalinea"/>
        <w:numPr>
          <w:ilvl w:val="0"/>
          <w:numId w:val="45"/>
        </w:numPr>
        <w:spacing w:line="276" w:lineRule="auto"/>
      </w:pPr>
      <w:r>
        <w:t>Diameter en lengte van de filters;</w:t>
      </w:r>
    </w:p>
    <w:p w14:paraId="0640A443" w14:textId="77777777" w:rsidR="003312B9" w:rsidRDefault="003312B9" w:rsidP="003312B9">
      <w:pPr>
        <w:pStyle w:val="Lijstalinea"/>
        <w:numPr>
          <w:ilvl w:val="0"/>
          <w:numId w:val="45"/>
        </w:numPr>
        <w:spacing w:line="276" w:lineRule="auto"/>
      </w:pPr>
      <w:r>
        <w:t>Pompcapaciteit in m3/uur en het te installeren vermogen in m3/uur per put;</w:t>
      </w:r>
    </w:p>
    <w:p w14:paraId="78EA50FD" w14:textId="77777777" w:rsidR="003312B9" w:rsidRDefault="003312B9" w:rsidP="003312B9">
      <w:pPr>
        <w:pStyle w:val="Lijstalinea"/>
        <w:numPr>
          <w:ilvl w:val="0"/>
          <w:numId w:val="45"/>
        </w:numPr>
        <w:spacing w:line="276" w:lineRule="auto"/>
      </w:pPr>
      <w:r>
        <w:t>Maximaal te onttrekken hoeveelheden water per uur, per dag, per maand, per kwartaal en per jaar;</w:t>
      </w:r>
    </w:p>
    <w:p w14:paraId="426EA161" w14:textId="5031F205" w:rsidR="003312B9" w:rsidRDefault="003312B9" w:rsidP="003312B9">
      <w:pPr>
        <w:pStyle w:val="Lijstalinea"/>
        <w:numPr>
          <w:ilvl w:val="0"/>
          <w:numId w:val="45"/>
        </w:numPr>
        <w:spacing w:line="276" w:lineRule="auto"/>
      </w:pPr>
      <w:r>
        <w:t>Een beschrijving van de maatregelen of voorzieningen die zijn of worden getroffen om negatieve gevolgen van de onttrekking te voorkomen of beperken.</w:t>
      </w:r>
    </w:p>
    <w:p w14:paraId="77322AAC" w14:textId="5A9BF055" w:rsidR="003312B9" w:rsidRDefault="003312B9" w:rsidP="00383D29">
      <w:pPr>
        <w:spacing w:line="276" w:lineRule="auto"/>
      </w:pPr>
    </w:p>
    <w:p w14:paraId="2B5FE3CB" w14:textId="55A7E22C" w:rsidR="003312B9" w:rsidRDefault="003312B9" w:rsidP="00383D29">
      <w:pPr>
        <w:spacing w:line="276" w:lineRule="auto"/>
      </w:pPr>
      <w:r w:rsidRPr="003312B9">
        <w:t>Indien het gaat om een bodemenergiesysteem moeten naast bovenstaande gegevens, moet volgens artikel 6.29 (BAL art.7.35) van de waterregeling ook het volgende overlegd worden bij het aanvragen van een vergunning of indienen van een melding:</w:t>
      </w:r>
    </w:p>
    <w:p w14:paraId="249C86F4" w14:textId="23F217BB" w:rsidR="003312B9" w:rsidRDefault="003312B9" w:rsidP="00383D29">
      <w:pPr>
        <w:spacing w:line="276" w:lineRule="auto"/>
      </w:pPr>
    </w:p>
    <w:p w14:paraId="198539A7" w14:textId="2701718B" w:rsidR="003312B9" w:rsidRDefault="003312B9" w:rsidP="00383D29">
      <w:pPr>
        <w:spacing w:line="276" w:lineRule="auto"/>
      </w:pPr>
    </w:p>
    <w:p w14:paraId="7BA5F9E2" w14:textId="77777777" w:rsidR="003312B9" w:rsidRDefault="003312B9" w:rsidP="003312B9">
      <w:pPr>
        <w:pStyle w:val="Lijstalinea"/>
        <w:numPr>
          <w:ilvl w:val="0"/>
          <w:numId w:val="46"/>
        </w:numPr>
        <w:spacing w:line="276" w:lineRule="auto"/>
      </w:pPr>
      <w:r>
        <w:t>Gegevens zoals benoemd in artikel 6.28 van de Waterregeling voor het in de bodem brengen van water</w:t>
      </w:r>
    </w:p>
    <w:p w14:paraId="29703EDA" w14:textId="77777777" w:rsidR="003312B9" w:rsidRDefault="003312B9" w:rsidP="003312B9">
      <w:pPr>
        <w:pStyle w:val="Lijstalinea"/>
        <w:numPr>
          <w:ilvl w:val="0"/>
          <w:numId w:val="46"/>
        </w:numPr>
        <w:spacing w:line="276" w:lineRule="auto"/>
      </w:pPr>
      <w:r>
        <w:t>Het aantal bestaande en nieuw in te richten putten</w:t>
      </w:r>
    </w:p>
    <w:p w14:paraId="5227EC76" w14:textId="77777777" w:rsidR="003312B9" w:rsidRDefault="003312B9" w:rsidP="003312B9">
      <w:pPr>
        <w:pStyle w:val="Lijstalinea"/>
        <w:numPr>
          <w:ilvl w:val="0"/>
          <w:numId w:val="46"/>
        </w:numPr>
        <w:spacing w:line="276" w:lineRule="auto"/>
      </w:pPr>
      <w:r>
        <w:t>XY-coördinaten van de putten</w:t>
      </w:r>
    </w:p>
    <w:p w14:paraId="60A75EB4" w14:textId="77777777" w:rsidR="003312B9" w:rsidRDefault="003312B9" w:rsidP="003312B9">
      <w:pPr>
        <w:pStyle w:val="Lijstalinea"/>
        <w:numPr>
          <w:ilvl w:val="0"/>
          <w:numId w:val="46"/>
        </w:numPr>
        <w:spacing w:line="276" w:lineRule="auto"/>
      </w:pPr>
      <w:r>
        <w:t>Diepte geperforeerde gedeelte van filters t.o.v. maaiveld en NAP;</w:t>
      </w:r>
    </w:p>
    <w:p w14:paraId="0FE9188E" w14:textId="77777777" w:rsidR="003312B9" w:rsidRDefault="003312B9" w:rsidP="003312B9">
      <w:pPr>
        <w:pStyle w:val="Lijstalinea"/>
        <w:numPr>
          <w:ilvl w:val="0"/>
          <w:numId w:val="46"/>
        </w:numPr>
        <w:spacing w:line="276" w:lineRule="auto"/>
      </w:pPr>
      <w:r>
        <w:t>Diameter en lengte van de filters;</w:t>
      </w:r>
    </w:p>
    <w:p w14:paraId="7C5FA80B" w14:textId="77777777" w:rsidR="003312B9" w:rsidRDefault="003312B9" w:rsidP="003312B9">
      <w:pPr>
        <w:pStyle w:val="Lijstalinea"/>
        <w:numPr>
          <w:ilvl w:val="0"/>
          <w:numId w:val="46"/>
        </w:numPr>
        <w:spacing w:line="276" w:lineRule="auto"/>
      </w:pPr>
      <w:r>
        <w:t>Pompcapaciteit in m3/uur en het te installeren vermogen in m3/uur per put;</w:t>
      </w:r>
    </w:p>
    <w:p w14:paraId="7CBEB17E" w14:textId="77777777" w:rsidR="003312B9" w:rsidRDefault="003312B9" w:rsidP="003312B9">
      <w:pPr>
        <w:pStyle w:val="Lijstalinea"/>
        <w:numPr>
          <w:ilvl w:val="0"/>
          <w:numId w:val="46"/>
        </w:numPr>
        <w:spacing w:line="276" w:lineRule="auto"/>
      </w:pPr>
      <w:r>
        <w:t>Maximaal in de bodem te brengen hoeveelheden water per uur, per dag, per maand, per kwartaal en per jaar;</w:t>
      </w:r>
    </w:p>
    <w:p w14:paraId="3AAC2696" w14:textId="77777777" w:rsidR="003312B9" w:rsidRDefault="003312B9" w:rsidP="003312B9">
      <w:pPr>
        <w:pStyle w:val="Lijstalinea"/>
        <w:numPr>
          <w:ilvl w:val="0"/>
          <w:numId w:val="46"/>
        </w:numPr>
        <w:spacing w:line="276" w:lineRule="auto"/>
      </w:pPr>
      <w:r>
        <w:t>De wijze waarop het wat in de bodem wordt gebracht</w:t>
      </w:r>
    </w:p>
    <w:p w14:paraId="79510D0C" w14:textId="77777777" w:rsidR="003312B9" w:rsidRDefault="003312B9" w:rsidP="003312B9">
      <w:pPr>
        <w:pStyle w:val="Lijstalinea"/>
        <w:numPr>
          <w:ilvl w:val="0"/>
          <w:numId w:val="46"/>
        </w:numPr>
        <w:spacing w:line="276" w:lineRule="auto"/>
      </w:pPr>
      <w:r>
        <w:t>Herkomst en samenstelling van het in de bodem te brengen water</w:t>
      </w:r>
    </w:p>
    <w:p w14:paraId="356E8D48" w14:textId="77777777" w:rsidR="003312B9" w:rsidRDefault="003312B9" w:rsidP="003312B9">
      <w:pPr>
        <w:pStyle w:val="Lijstalinea"/>
        <w:numPr>
          <w:ilvl w:val="0"/>
          <w:numId w:val="46"/>
        </w:numPr>
        <w:spacing w:line="276" w:lineRule="auto"/>
      </w:pPr>
      <w:r>
        <w:t>Een beschrijving van de maatregelen of voorzieningen die zijn of worden getroffen om negatieve gevolgen van het water in de bodem brengen te voorkomen of beperken.</w:t>
      </w:r>
    </w:p>
    <w:p w14:paraId="6D2EC9D0" w14:textId="77777777" w:rsidR="003312B9" w:rsidRDefault="003312B9" w:rsidP="003312B9">
      <w:pPr>
        <w:pStyle w:val="Lijstalinea"/>
        <w:numPr>
          <w:ilvl w:val="0"/>
          <w:numId w:val="46"/>
        </w:numPr>
        <w:spacing w:line="276" w:lineRule="auto"/>
      </w:pPr>
      <w:r>
        <w:t>Capaciteit van de pomp waarmee het water in de bodem wordt gebracht in m3/uur</w:t>
      </w:r>
    </w:p>
    <w:p w14:paraId="3701156B" w14:textId="77777777" w:rsidR="003312B9" w:rsidRDefault="003312B9" w:rsidP="003312B9">
      <w:pPr>
        <w:pStyle w:val="Lijstalinea"/>
        <w:numPr>
          <w:ilvl w:val="0"/>
          <w:numId w:val="46"/>
        </w:numPr>
        <w:spacing w:line="276" w:lineRule="auto"/>
      </w:pPr>
      <w:r>
        <w:t>Maximaal in de bodem te brengen hoeveelheden water, per uur, per dag, per maand, per kwartaal en per jaar</w:t>
      </w:r>
    </w:p>
    <w:p w14:paraId="3F9F703B" w14:textId="77777777" w:rsidR="003312B9" w:rsidRDefault="003312B9" w:rsidP="003312B9">
      <w:pPr>
        <w:pStyle w:val="Lijstalinea"/>
        <w:numPr>
          <w:ilvl w:val="0"/>
          <w:numId w:val="46"/>
        </w:numPr>
        <w:spacing w:line="276" w:lineRule="auto"/>
      </w:pPr>
      <w:r>
        <w:t>De wijze waarop water in de bodem wordt gebracht</w:t>
      </w:r>
    </w:p>
    <w:p w14:paraId="62A15069" w14:textId="77777777" w:rsidR="003312B9" w:rsidRDefault="003312B9" w:rsidP="003312B9">
      <w:pPr>
        <w:pStyle w:val="Lijstalinea"/>
        <w:numPr>
          <w:ilvl w:val="0"/>
          <w:numId w:val="46"/>
        </w:numPr>
        <w:spacing w:line="276" w:lineRule="auto"/>
      </w:pPr>
      <w:r>
        <w:t>Samenstelling van het in de bodem te brengen water</w:t>
      </w:r>
    </w:p>
    <w:p w14:paraId="6196C933" w14:textId="77777777" w:rsidR="003312B9" w:rsidRDefault="003312B9" w:rsidP="003312B9">
      <w:pPr>
        <w:pStyle w:val="Lijstalinea"/>
        <w:numPr>
          <w:ilvl w:val="0"/>
          <w:numId w:val="46"/>
        </w:numPr>
        <w:spacing w:line="276" w:lineRule="auto"/>
      </w:pPr>
      <w:r>
        <w:t>Hydrologische effecten van het in de bodem te brengen water</w:t>
      </w:r>
    </w:p>
    <w:p w14:paraId="70B1896F" w14:textId="77777777" w:rsidR="003312B9" w:rsidRDefault="003312B9" w:rsidP="003312B9">
      <w:pPr>
        <w:pStyle w:val="Lijstalinea"/>
        <w:numPr>
          <w:ilvl w:val="0"/>
          <w:numId w:val="46"/>
        </w:numPr>
        <w:spacing w:line="276" w:lineRule="auto"/>
      </w:pPr>
      <w:r>
        <w:t>Temperatuur van het in de bodem te brengen water (gemiddeld, maximum en minimum)</w:t>
      </w:r>
    </w:p>
    <w:p w14:paraId="65F25458" w14:textId="77777777" w:rsidR="003312B9" w:rsidRDefault="003312B9" w:rsidP="003312B9">
      <w:pPr>
        <w:pStyle w:val="Lijstalinea"/>
        <w:numPr>
          <w:ilvl w:val="0"/>
          <w:numId w:val="46"/>
        </w:numPr>
        <w:spacing w:line="276" w:lineRule="auto"/>
      </w:pPr>
      <w:r>
        <w:t>Omvang warmte- en koude behoefte waarin het bodemenergiesysteem voorziet</w:t>
      </w:r>
    </w:p>
    <w:p w14:paraId="7D6DABF9" w14:textId="1C9A98E6" w:rsidR="003312B9" w:rsidRDefault="003312B9" w:rsidP="003312B9">
      <w:pPr>
        <w:pStyle w:val="Lijstalinea"/>
        <w:numPr>
          <w:ilvl w:val="0"/>
          <w:numId w:val="46"/>
        </w:numPr>
        <w:spacing w:line="276" w:lineRule="auto"/>
      </w:pPr>
      <w:r>
        <w:t>Energierendement in SPF (Seasonal Performance Factor), dat bodemenergiesysteem zal behalen bij voorzien gebruik, schriftelijk verklaring van de installateur</w:t>
      </w:r>
    </w:p>
    <w:p w14:paraId="791255E2" w14:textId="47F88B9F" w:rsidR="003312B9" w:rsidRDefault="003312B9" w:rsidP="00383D29">
      <w:pPr>
        <w:spacing w:line="276" w:lineRule="auto"/>
      </w:pPr>
    </w:p>
    <w:p w14:paraId="2511214A" w14:textId="5C934654" w:rsidR="003312B9" w:rsidRDefault="003312B9" w:rsidP="003312B9">
      <w:pPr>
        <w:pStyle w:val="Kop2"/>
      </w:pPr>
      <w:r>
        <w:t xml:space="preserve">6.2 </w:t>
      </w:r>
      <w:r w:rsidRPr="003312B9">
        <w:t>Periodieke gegevenslevering van productiecijfers</w:t>
      </w:r>
    </w:p>
    <w:p w14:paraId="36F0C48F" w14:textId="25F23B76" w:rsidR="003312B9" w:rsidRPr="003312B9" w:rsidRDefault="003312B9" w:rsidP="003312B9">
      <w:pPr>
        <w:pStyle w:val="Geenafstand"/>
      </w:pPr>
      <w:r w:rsidRPr="003312B9">
        <w:t>Naast wat aangeleverd moet worden voor het kunnen aanvragen van een vergunning of indienen van een melding is in het Waterbesluit in artikel 6.11 ook vastgelegd welke gegevens aangeleverd moeten worden gedurende de uitvoering van de handelingen (het onttrekken van grondwater) waarvoor de vergunning of melding van toepassing is.</w:t>
      </w:r>
    </w:p>
    <w:p w14:paraId="22E6CFA9" w14:textId="77777777" w:rsidR="003312B9" w:rsidRDefault="003312B9" w:rsidP="004F371F"/>
    <w:p w14:paraId="5FCDA511" w14:textId="77777777" w:rsidR="003312B9" w:rsidRDefault="003312B9" w:rsidP="004F371F"/>
    <w:p w14:paraId="69CD1EA5" w14:textId="77777777" w:rsidR="003312B9" w:rsidRDefault="003312B9" w:rsidP="003312B9">
      <w:pPr>
        <w:pStyle w:val="Lijstalinea"/>
        <w:numPr>
          <w:ilvl w:val="0"/>
          <w:numId w:val="47"/>
        </w:numPr>
      </w:pPr>
      <w:r>
        <w:t>In elk kwartaal wordt de onttrokken hoeveelheid grondwater gemeten. De meter moet minimaal 95% nauwkeurig zijn.</w:t>
      </w:r>
    </w:p>
    <w:p w14:paraId="7D1D94AD" w14:textId="77777777" w:rsidR="003312B9" w:rsidRDefault="003312B9" w:rsidP="003312B9">
      <w:pPr>
        <w:pStyle w:val="Lijstalinea"/>
        <w:numPr>
          <w:ilvl w:val="0"/>
          <w:numId w:val="47"/>
        </w:numPr>
      </w:pPr>
      <w:r>
        <w:t>Voor kortdurende of seizoensgebonden onttrekkingen kan in de vergunning of middels maatwerk (een keur mag gezien worden als een maatwerkbesluit), mag een kortere tijdspanne worden gemeten, bijvoorbeeld per dag, per week of per maand.</w:t>
      </w:r>
    </w:p>
    <w:p w14:paraId="72DDB0E6" w14:textId="77777777" w:rsidR="003312B9" w:rsidRDefault="003312B9" w:rsidP="003312B9">
      <w:pPr>
        <w:pStyle w:val="Lijstalinea"/>
        <w:numPr>
          <w:ilvl w:val="0"/>
          <w:numId w:val="47"/>
        </w:numPr>
      </w:pPr>
      <w:r>
        <w:t>De gemeten hoeveelheden moeten jaarlijks voor 31 januari van elk jaar, of binnen een maand na beëindiging van de grondwateronttrekking worden aangeleverd aan het bevoegd gezag.</w:t>
      </w:r>
    </w:p>
    <w:p w14:paraId="5EA6AAE9" w14:textId="3DD851BB" w:rsidR="003312B9" w:rsidRDefault="003312B9" w:rsidP="003312B9">
      <w:pPr>
        <w:pStyle w:val="Lijstalinea"/>
        <w:numPr>
          <w:ilvl w:val="0"/>
          <w:numId w:val="47"/>
        </w:numPr>
      </w:pPr>
      <w:r>
        <w:t>Een provincie (middels de provinciale verordening) en een waterschap (middels verordening van het waterschap) mogen afwijken van de hierboven genoemde voorwaarde als het gaat om grondwateronttrekkingen waarvoor zij bevoegd gezag zijn.</w:t>
      </w:r>
    </w:p>
    <w:p w14:paraId="44BB570C" w14:textId="77777777" w:rsidR="003312B9" w:rsidRDefault="003312B9" w:rsidP="004F371F"/>
    <w:p w14:paraId="4AEA185F" w14:textId="13786006" w:rsidR="003312B9" w:rsidRDefault="003312B9" w:rsidP="004F371F">
      <w:r w:rsidRPr="003312B9">
        <w:t>Voor Bodemenergie</w:t>
      </w:r>
      <w:r>
        <w:t xml:space="preserve">systemen </w:t>
      </w:r>
      <w:r w:rsidRPr="003312B9">
        <w:t xml:space="preserve"> gelden uitgebreidere verplichtingen voor het leveren van productiecijfers. Deze zijn in het BAL vastgelegd en in de BUM verder uitgewerkt. Voor vergunningplichtige Open Bodemenergiesystemen (Voorschriften 4, blz 58) moeten de volgende gegevens maandelijks worden geregistreerd. De geregistreerde gegevens moeten jaarlijks voor 1 april aan de provincie worden aangeleverd.</w:t>
      </w:r>
    </w:p>
    <w:p w14:paraId="354AB795" w14:textId="0E719B8F" w:rsidR="003312B9" w:rsidRDefault="003312B9" w:rsidP="004F371F"/>
    <w:p w14:paraId="7CB154D0" w14:textId="77777777" w:rsidR="003312B9" w:rsidRDefault="003312B9" w:rsidP="003312B9">
      <w:r>
        <w:t>Voor OBES zijn dit maandcijfers van:</w:t>
      </w:r>
    </w:p>
    <w:p w14:paraId="3A0FBAB4" w14:textId="77777777" w:rsidR="003312B9" w:rsidRDefault="003312B9" w:rsidP="003312B9"/>
    <w:p w14:paraId="087A7112" w14:textId="77777777" w:rsidR="003312B9" w:rsidRDefault="003312B9" w:rsidP="003312B9">
      <w:pPr>
        <w:pStyle w:val="Lijstalinea"/>
        <w:numPr>
          <w:ilvl w:val="0"/>
          <w:numId w:val="48"/>
        </w:numPr>
      </w:pPr>
      <w:r>
        <w:t>Onttrokken grondwater(m3)</w:t>
      </w:r>
    </w:p>
    <w:p w14:paraId="5C5085AC" w14:textId="77777777" w:rsidR="003312B9" w:rsidRDefault="003312B9" w:rsidP="003312B9">
      <w:pPr>
        <w:pStyle w:val="Lijstalinea"/>
        <w:numPr>
          <w:ilvl w:val="0"/>
          <w:numId w:val="48"/>
        </w:numPr>
      </w:pPr>
      <w:r>
        <w:t>In de bodem teruggebracht grondwater totaal (m3)</w:t>
      </w:r>
    </w:p>
    <w:p w14:paraId="1824F1ED" w14:textId="77777777" w:rsidR="003312B9" w:rsidRDefault="003312B9" w:rsidP="003312B9">
      <w:pPr>
        <w:pStyle w:val="Lijstalinea"/>
        <w:numPr>
          <w:ilvl w:val="0"/>
          <w:numId w:val="48"/>
        </w:numPr>
      </w:pPr>
      <w:r>
        <w:t>In de bodem teruggebracht grondwater tijdens koel-bedrijf (m3)</w:t>
      </w:r>
    </w:p>
    <w:p w14:paraId="5C61CDCA" w14:textId="77777777" w:rsidR="003312B9" w:rsidRDefault="003312B9" w:rsidP="003312B9">
      <w:pPr>
        <w:pStyle w:val="Lijstalinea"/>
        <w:numPr>
          <w:ilvl w:val="0"/>
          <w:numId w:val="48"/>
        </w:numPr>
      </w:pPr>
      <w:r>
        <w:t>In de bodem teruggebracht grondwater tijdens verwarmings-bedrijf (m3)</w:t>
      </w:r>
    </w:p>
    <w:p w14:paraId="2F209D2B" w14:textId="77777777" w:rsidR="003312B9" w:rsidRDefault="003312B9" w:rsidP="003312B9">
      <w:pPr>
        <w:pStyle w:val="Lijstalinea"/>
        <w:numPr>
          <w:ilvl w:val="0"/>
          <w:numId w:val="48"/>
        </w:numPr>
      </w:pPr>
      <w:r>
        <w:t>Maximaal uurdebiet (m3/h)</w:t>
      </w:r>
    </w:p>
    <w:p w14:paraId="113A4BD9" w14:textId="77777777" w:rsidR="003312B9" w:rsidRDefault="003312B9" w:rsidP="003312B9">
      <w:pPr>
        <w:pStyle w:val="Lijstalinea"/>
        <w:numPr>
          <w:ilvl w:val="0"/>
          <w:numId w:val="48"/>
        </w:numPr>
      </w:pPr>
      <w:r>
        <w:t>Gespuid grondwater (m3)</w:t>
      </w:r>
    </w:p>
    <w:p w14:paraId="047C736A" w14:textId="77777777" w:rsidR="003312B9" w:rsidRDefault="003312B9" w:rsidP="003312B9">
      <w:pPr>
        <w:pStyle w:val="Lijstalinea"/>
        <w:numPr>
          <w:ilvl w:val="0"/>
          <w:numId w:val="48"/>
        </w:numPr>
      </w:pPr>
      <w:r>
        <w:t>Maximale temperatuur van het grondwater dat in de bodem is teruggebracht (°C) (meting na het passeren van de warmtepomp)</w:t>
      </w:r>
    </w:p>
    <w:p w14:paraId="35646A19" w14:textId="77777777" w:rsidR="003312B9" w:rsidRDefault="003312B9" w:rsidP="003312B9">
      <w:pPr>
        <w:pStyle w:val="Lijstalinea"/>
        <w:numPr>
          <w:ilvl w:val="0"/>
          <w:numId w:val="48"/>
        </w:numPr>
      </w:pPr>
      <w:r>
        <w:t>Gemiddelde temperatuur van het grondwater dat aan de bodem is onttrokken tijdens koelbedrijf (°C) (meting na het passeren van de warmtepomp)</w:t>
      </w:r>
    </w:p>
    <w:p w14:paraId="68470A96" w14:textId="77777777" w:rsidR="003312B9" w:rsidRDefault="003312B9" w:rsidP="003312B9">
      <w:pPr>
        <w:pStyle w:val="Lijstalinea"/>
        <w:numPr>
          <w:ilvl w:val="0"/>
          <w:numId w:val="48"/>
        </w:numPr>
      </w:pPr>
      <w:r>
        <w:t>Gemiddelde temperatuur van het grondwater dat in de bodem is teruggebracht tijdens koelbedrijf (°C) (meting na het passeren van de warmtepomp)</w:t>
      </w:r>
    </w:p>
    <w:p w14:paraId="086DFD9A" w14:textId="77777777" w:rsidR="003312B9" w:rsidRDefault="003312B9" w:rsidP="003312B9">
      <w:pPr>
        <w:pStyle w:val="Lijstalinea"/>
        <w:numPr>
          <w:ilvl w:val="0"/>
          <w:numId w:val="48"/>
        </w:numPr>
      </w:pPr>
      <w:r>
        <w:t>Gemiddelde temperatuur van het grondwater dat aan de bodem is onttrokken tijdens verwarmingsbedrijf (°C) (meting na het passeren van de warmtepomp)</w:t>
      </w:r>
    </w:p>
    <w:p w14:paraId="7EA6C001" w14:textId="77777777" w:rsidR="003312B9" w:rsidRDefault="003312B9" w:rsidP="003312B9">
      <w:pPr>
        <w:pStyle w:val="Lijstalinea"/>
        <w:numPr>
          <w:ilvl w:val="0"/>
          <w:numId w:val="48"/>
        </w:numPr>
      </w:pPr>
      <w:r>
        <w:t>Gemiddelde temperatuur van het grondwater dat in de bodem is teruggebracht tijdens verwarmingsbedrijf (°C) (meting na het passeren van de warmtepomp)</w:t>
      </w:r>
    </w:p>
    <w:p w14:paraId="5E20D601" w14:textId="77777777" w:rsidR="003312B9" w:rsidRDefault="003312B9" w:rsidP="003312B9">
      <w:r>
        <w:t>Tevens moeten de energieproductie per maand, per jaar en voor de gehele levensduur van het systeem worden geregistreerd en één keer per jaar worden aangeleverd:</w:t>
      </w:r>
    </w:p>
    <w:p w14:paraId="2CBED714" w14:textId="77777777" w:rsidR="003312B9" w:rsidRDefault="003312B9" w:rsidP="003312B9"/>
    <w:p w14:paraId="304DF7A1" w14:textId="77777777" w:rsidR="003312B9" w:rsidRDefault="003312B9" w:rsidP="003312B9">
      <w:pPr>
        <w:pStyle w:val="Lijstalinea"/>
        <w:numPr>
          <w:ilvl w:val="0"/>
          <w:numId w:val="49"/>
        </w:numPr>
      </w:pPr>
      <w:r>
        <w:t>Verwarmingsbedrijf: aan bodem toegevoegde koude (MWh)</w:t>
      </w:r>
    </w:p>
    <w:p w14:paraId="3A219B67" w14:textId="77777777" w:rsidR="003312B9" w:rsidRDefault="003312B9" w:rsidP="003312B9">
      <w:pPr>
        <w:pStyle w:val="Lijstalinea"/>
        <w:numPr>
          <w:ilvl w:val="0"/>
          <w:numId w:val="49"/>
        </w:numPr>
      </w:pPr>
      <w:r>
        <w:t>Koelbedrijf: aan bodem toegevoegde warmte (MWh)</w:t>
      </w:r>
    </w:p>
    <w:p w14:paraId="365395EF" w14:textId="77777777" w:rsidR="003312B9" w:rsidRDefault="003312B9" w:rsidP="003312B9">
      <w:pPr>
        <w:pStyle w:val="Lijstalinea"/>
        <w:numPr>
          <w:ilvl w:val="0"/>
          <w:numId w:val="49"/>
        </w:numPr>
      </w:pPr>
      <w:r>
        <w:t>Energieverbruik ondergronds deel inclusief warmtepomp (kWh)</w:t>
      </w:r>
    </w:p>
    <w:p w14:paraId="37697AEA" w14:textId="3FABD1A8" w:rsidR="003312B9" w:rsidRDefault="003312B9" w:rsidP="003312B9">
      <w:pPr>
        <w:pStyle w:val="Lijstalinea"/>
        <w:numPr>
          <w:ilvl w:val="0"/>
          <w:numId w:val="49"/>
        </w:numPr>
      </w:pPr>
      <w:r>
        <w:t>SPF Productiviteit (kWh / m3)</w:t>
      </w:r>
    </w:p>
    <w:p w14:paraId="39EA2C4C" w14:textId="77777777" w:rsidR="003312B9" w:rsidRDefault="003312B9" w:rsidP="004F371F"/>
    <w:p w14:paraId="3833A667" w14:textId="0E1BFF3E" w:rsidR="003312B9" w:rsidRDefault="003312B9" w:rsidP="004F371F">
      <w:r w:rsidRPr="003312B9">
        <w:t>Voor Gesloten Bodemenergiesystemen  wordt onderscheid gemaakt tussen systemen groter dan 70KW en systemen kleiner dan 70 kW. Kleine systemen in woningen zijn vrijgesteld van het aanleveren van productiegegevens. Kleine systemen in de utiliteitsbouw en grote systemen leveren de volgende gegevens aan op basis van Bal-artikel 4.1138.</w:t>
      </w:r>
    </w:p>
    <w:p w14:paraId="631B9396" w14:textId="33F9C5D2" w:rsidR="003312B9" w:rsidRDefault="003312B9" w:rsidP="004F371F"/>
    <w:p w14:paraId="03B551C0" w14:textId="77777777" w:rsidR="003312B9" w:rsidRDefault="003312B9" w:rsidP="003312B9">
      <w:r>
        <w:t>Bal-artikel 4.1138 geeft aan dat van de grotere gesloten systemen de volgende zaken geregistreerd en één keer per jaar voor april aangeleverd moeten worden bij het bevoegd gezag:</w:t>
      </w:r>
    </w:p>
    <w:p w14:paraId="5E0DE09B" w14:textId="77777777" w:rsidR="003312B9" w:rsidRDefault="003312B9" w:rsidP="003312B9"/>
    <w:p w14:paraId="556E7A71" w14:textId="77777777" w:rsidR="003312B9" w:rsidRDefault="003312B9" w:rsidP="003312B9">
      <w:pPr>
        <w:pStyle w:val="Lijstalinea"/>
        <w:numPr>
          <w:ilvl w:val="0"/>
          <w:numId w:val="50"/>
        </w:numPr>
      </w:pPr>
      <w:r>
        <w:t>de hoeveelheden warmte en koude die vanaf de datum waarop het gesloten bodemenergiesysteem in gebruik werd genomen aan de bodem zijn toegevoegd;</w:t>
      </w:r>
    </w:p>
    <w:p w14:paraId="0A5C1C9E" w14:textId="77777777" w:rsidR="003312B9" w:rsidRDefault="003312B9" w:rsidP="003312B9">
      <w:pPr>
        <w:pStyle w:val="Lijstalinea"/>
        <w:numPr>
          <w:ilvl w:val="0"/>
          <w:numId w:val="50"/>
        </w:numPr>
      </w:pPr>
      <w:r>
        <w:t>het jaarlijks energierendement; en</w:t>
      </w:r>
    </w:p>
    <w:p w14:paraId="1026EB73" w14:textId="0AC28B87" w:rsidR="003312B9" w:rsidRDefault="003312B9" w:rsidP="003312B9">
      <w:pPr>
        <w:pStyle w:val="Lijstalinea"/>
        <w:numPr>
          <w:ilvl w:val="0"/>
          <w:numId w:val="50"/>
        </w:numPr>
      </w:pPr>
      <w:r>
        <w:t>de gemiddelde temperatuur per maand van de circulatievloeistof in de leiding waarin de circulatievloeistof wordt teruggeleid naar de bodem.</w:t>
      </w:r>
    </w:p>
    <w:p w14:paraId="42741A7A" w14:textId="77777777" w:rsidR="003312B9" w:rsidRDefault="003312B9" w:rsidP="004F371F"/>
    <w:p w14:paraId="5C175E5B" w14:textId="311B50B5" w:rsidR="003312B9" w:rsidRDefault="003312B9" w:rsidP="003312B9">
      <w:pPr>
        <w:pStyle w:val="Kop2"/>
      </w:pPr>
      <w:r>
        <w:t xml:space="preserve">6.3 </w:t>
      </w:r>
      <w:r>
        <w:t>Scopekeuzes</w:t>
      </w:r>
    </w:p>
    <w:p w14:paraId="4DD39867" w14:textId="77777777" w:rsidR="003312B9" w:rsidRDefault="003312B9" w:rsidP="003312B9">
      <w:r>
        <w:t xml:space="preserve">Het doel van de onttrekkingen (drinkwater, bluswater, veedrenking, beregening, proceswater, koelwater, bronbemaling) bepaalt dus niet zozeer welke gegevens al dan niet aangeleverd moeten worden aan bevoegd gezag (uitgezonderd de speciale eisen voor bodemenergie). Daarom is het voorstel om </w:t>
      </w:r>
      <w:r w:rsidRPr="003312B9">
        <w:rPr>
          <w:u w:val="single"/>
        </w:rPr>
        <w:t>alle vergunnings of meldingsplichtige vormen</w:t>
      </w:r>
      <w:r>
        <w:t xml:space="preserve"> van grondwatergebruik </w:t>
      </w:r>
      <w:r w:rsidRPr="003312B9">
        <w:rPr>
          <w:u w:val="single"/>
        </w:rPr>
        <w:t>binnen scope</w:t>
      </w:r>
      <w:r>
        <w:t xml:space="preserve"> van de BRO te plaatsen.  Dit betreft naast onttrekkingen ook infiltratie, met als doel om het geinfiltreerde water te hergebruiken. </w:t>
      </w:r>
    </w:p>
    <w:p w14:paraId="24247F0D" w14:textId="7FF3FA3B" w:rsidR="008F03DA" w:rsidRDefault="003312B9" w:rsidP="003312B9">
      <w:r>
        <w:t>Wet- en regelgeving geven bevoegd gezagen wel de mogelijkheid om met name t.a.v.  'kleine onttrekkingen'  te specificeren/ te verbijzonderen in meldings- dan wel vergunningsplicht en eisen tav gegevenslevering. </w:t>
      </w:r>
    </w:p>
    <w:p w14:paraId="2F7E1AD0" w14:textId="77777777" w:rsidR="008F03DA" w:rsidRDefault="008F03DA">
      <w:pPr>
        <w:spacing w:line="240" w:lineRule="auto"/>
      </w:pPr>
    </w:p>
    <w:p w14:paraId="4A20F234" w14:textId="77777777" w:rsidR="008F03DA" w:rsidRDefault="008F03DA">
      <w:pPr>
        <w:spacing w:line="240" w:lineRule="auto"/>
      </w:pPr>
    </w:p>
    <w:p w14:paraId="68BE8033" w14:textId="77777777" w:rsidR="008F03DA" w:rsidRPr="008F03DA" w:rsidRDefault="008F03DA" w:rsidP="008F03DA">
      <w:pPr>
        <w:spacing w:line="240" w:lineRule="auto"/>
        <w:rPr>
          <w:b/>
          <w:bCs/>
          <w:color w:val="0070C0"/>
        </w:rPr>
      </w:pPr>
      <w:r w:rsidRPr="008F03DA">
        <w:rPr>
          <w:b/>
          <w:bCs/>
          <w:color w:val="0070C0"/>
        </w:rPr>
        <w:t>Scopeissue 1: De vraag is of er sprake moet zijn van een ondergrens van 'grootte van onttrekking' waarbij 'kleine' onttrekkingen  buiten scope van de BRO vallen.  </w:t>
      </w:r>
    </w:p>
    <w:p w14:paraId="6F491764" w14:textId="77777777" w:rsidR="008F03DA" w:rsidRDefault="008F03DA" w:rsidP="008F03DA">
      <w:pPr>
        <w:spacing w:line="240" w:lineRule="auto"/>
      </w:pPr>
    </w:p>
    <w:p w14:paraId="621342A0" w14:textId="77777777" w:rsidR="008F03DA" w:rsidRPr="008F03DA" w:rsidRDefault="008F03DA" w:rsidP="008F03DA">
      <w:pPr>
        <w:spacing w:line="240" w:lineRule="auto"/>
        <w:rPr>
          <w:color w:val="0070C0"/>
          <w:sz w:val="16"/>
          <w:szCs w:val="16"/>
        </w:rPr>
      </w:pPr>
      <w:r w:rsidRPr="008F03DA">
        <w:rPr>
          <w:color w:val="0070C0"/>
          <w:sz w:val="16"/>
          <w:szCs w:val="16"/>
        </w:rPr>
        <w:t>De behoefte om 'kleine' onttrekkingen binnen scope van de BRO te zetten komt vanuit:</w:t>
      </w:r>
    </w:p>
    <w:p w14:paraId="17EFD22A" w14:textId="77777777" w:rsidR="008F03DA" w:rsidRPr="008F03DA" w:rsidRDefault="008F03DA" w:rsidP="008F03DA">
      <w:pPr>
        <w:spacing w:line="240" w:lineRule="auto"/>
        <w:rPr>
          <w:color w:val="0070C0"/>
          <w:sz w:val="16"/>
          <w:szCs w:val="16"/>
        </w:rPr>
      </w:pPr>
    </w:p>
    <w:p w14:paraId="665E4728" w14:textId="77777777" w:rsidR="008F03DA" w:rsidRPr="008F03DA" w:rsidRDefault="008F03DA" w:rsidP="008F03DA">
      <w:pPr>
        <w:pStyle w:val="Lijstalinea"/>
        <w:numPr>
          <w:ilvl w:val="0"/>
          <w:numId w:val="43"/>
        </w:numPr>
        <w:spacing w:line="240" w:lineRule="auto"/>
        <w:rPr>
          <w:color w:val="0070C0"/>
          <w:sz w:val="16"/>
          <w:szCs w:val="16"/>
        </w:rPr>
      </w:pPr>
      <w:r w:rsidRPr="008F03DA">
        <w:rPr>
          <w:color w:val="0070C0"/>
          <w:sz w:val="16"/>
          <w:szCs w:val="16"/>
        </w:rPr>
        <w:t>gebruiksperspectief:  een veelheid aan kleine onttrekkingen kan  het  grondwatersysteem significant beinvloeden. Grondwatereffectstudies bijvoorbeeld zijn hierbij gebaat </w:t>
      </w:r>
    </w:p>
    <w:p w14:paraId="49DCC8AF" w14:textId="77777777" w:rsidR="008F03DA" w:rsidRPr="008F03DA" w:rsidRDefault="008F03DA" w:rsidP="008F03DA">
      <w:pPr>
        <w:pStyle w:val="Lijstalinea"/>
        <w:numPr>
          <w:ilvl w:val="0"/>
          <w:numId w:val="43"/>
        </w:numPr>
        <w:spacing w:line="240" w:lineRule="auto"/>
        <w:rPr>
          <w:color w:val="0070C0"/>
          <w:sz w:val="16"/>
          <w:szCs w:val="16"/>
        </w:rPr>
      </w:pPr>
      <w:r w:rsidRPr="008F03DA">
        <w:rPr>
          <w:color w:val="0070C0"/>
          <w:sz w:val="16"/>
          <w:szCs w:val="16"/>
        </w:rPr>
        <w:t>bestuursorgaan perspectief: zicht op kleine onttrekkingen in grondwaterbeschermingsgebieden en lokale kleine onttrekkingen voor menselijke consumptie zijn rapportageplictig voor EU-KRW</w:t>
      </w:r>
    </w:p>
    <w:p w14:paraId="360BC4C8" w14:textId="77777777" w:rsidR="008F03DA" w:rsidRPr="008F03DA" w:rsidRDefault="008F03DA" w:rsidP="008F03DA">
      <w:pPr>
        <w:spacing w:line="240" w:lineRule="auto"/>
        <w:rPr>
          <w:color w:val="0070C0"/>
          <w:sz w:val="16"/>
          <w:szCs w:val="16"/>
        </w:rPr>
      </w:pPr>
      <w:r w:rsidRPr="008F03DA">
        <w:rPr>
          <w:color w:val="0070C0"/>
          <w:sz w:val="16"/>
          <w:szCs w:val="16"/>
        </w:rPr>
        <w:t>Geconstateerd is dat:</w:t>
      </w:r>
    </w:p>
    <w:p w14:paraId="7C88F303" w14:textId="77777777" w:rsidR="008F03DA" w:rsidRPr="008F03DA" w:rsidRDefault="008F03DA" w:rsidP="008F03DA">
      <w:pPr>
        <w:spacing w:line="240" w:lineRule="auto"/>
        <w:rPr>
          <w:color w:val="0070C0"/>
          <w:sz w:val="16"/>
          <w:szCs w:val="16"/>
        </w:rPr>
      </w:pPr>
    </w:p>
    <w:p w14:paraId="2CDFA96F" w14:textId="77777777" w:rsidR="008F03DA" w:rsidRPr="008F03DA" w:rsidRDefault="008F03DA" w:rsidP="008F03DA">
      <w:pPr>
        <w:pStyle w:val="Lijstalinea"/>
        <w:numPr>
          <w:ilvl w:val="0"/>
          <w:numId w:val="44"/>
        </w:numPr>
        <w:spacing w:line="240" w:lineRule="auto"/>
        <w:rPr>
          <w:color w:val="0070C0"/>
          <w:sz w:val="16"/>
          <w:szCs w:val="16"/>
        </w:rPr>
      </w:pPr>
      <w:r w:rsidRPr="008F03DA">
        <w:rPr>
          <w:color w:val="0070C0"/>
          <w:sz w:val="16"/>
          <w:szCs w:val="16"/>
        </w:rPr>
        <w:t>in de uitwerking van de verschillende waterschapskeuren en provinciale verordeningen de ondergrens tussen vergunningsplicht/meldingsplicht van deze onttrekkingen, verschillend is.  Een generieke ondergrens op basis van deze ondergrens is dus niet mogelijk.</w:t>
      </w:r>
    </w:p>
    <w:p w14:paraId="1B73DE2B" w14:textId="77777777" w:rsidR="008F03DA" w:rsidRPr="008F03DA" w:rsidRDefault="008F03DA" w:rsidP="008F03DA">
      <w:pPr>
        <w:pStyle w:val="Lijstalinea"/>
        <w:numPr>
          <w:ilvl w:val="0"/>
          <w:numId w:val="44"/>
        </w:numPr>
        <w:spacing w:line="240" w:lineRule="auto"/>
        <w:rPr>
          <w:color w:val="0070C0"/>
          <w:sz w:val="16"/>
          <w:szCs w:val="16"/>
        </w:rPr>
      </w:pPr>
      <w:r w:rsidRPr="008F03DA">
        <w:rPr>
          <w:color w:val="0070C0"/>
          <w:sz w:val="16"/>
          <w:szCs w:val="16"/>
        </w:rPr>
        <w:t>ook meldingsplichtige onttrekkingen (relatief klein') dus relevant kunnen zijn</w:t>
      </w:r>
    </w:p>
    <w:p w14:paraId="471EDF1A" w14:textId="77777777" w:rsidR="008F03DA" w:rsidRPr="008F03DA" w:rsidRDefault="008F03DA" w:rsidP="008F03DA">
      <w:pPr>
        <w:pStyle w:val="Lijstalinea"/>
        <w:numPr>
          <w:ilvl w:val="0"/>
          <w:numId w:val="44"/>
        </w:numPr>
        <w:spacing w:line="240" w:lineRule="auto"/>
        <w:rPr>
          <w:color w:val="0070C0"/>
          <w:sz w:val="16"/>
          <w:szCs w:val="16"/>
        </w:rPr>
      </w:pPr>
      <w:r w:rsidRPr="008F03DA">
        <w:rPr>
          <w:color w:val="0070C0"/>
          <w:sz w:val="16"/>
          <w:szCs w:val="16"/>
        </w:rPr>
        <w:t>het aanleveren van volgens de wet verplichte gegevens van met name de kleinere onttrekkingen en het toezicht en handhaving daarop door bevoegd gezagen niet overal optimaal plaatsvindt. Het betreft hier voornamelijk de waterschappen die de hiervoor benodigde capaciteit/middelen niet tot hun beschikking hebben.</w:t>
      </w:r>
    </w:p>
    <w:p w14:paraId="0661CD3A" w14:textId="77777777" w:rsidR="008F03DA" w:rsidRPr="008F03DA" w:rsidRDefault="008F03DA" w:rsidP="008F03DA">
      <w:pPr>
        <w:pStyle w:val="Lijstalinea"/>
        <w:numPr>
          <w:ilvl w:val="0"/>
          <w:numId w:val="44"/>
        </w:numPr>
        <w:spacing w:line="240" w:lineRule="auto"/>
        <w:rPr>
          <w:color w:val="0070C0"/>
          <w:sz w:val="16"/>
          <w:szCs w:val="16"/>
        </w:rPr>
      </w:pPr>
      <w:r w:rsidRPr="008F03DA">
        <w:rPr>
          <w:color w:val="0070C0"/>
          <w:sz w:val="16"/>
          <w:szCs w:val="16"/>
        </w:rPr>
        <w:t>De optimalisatieslag die hiervoor nodig is waarschijnlijk een extra lastendruk bij met name waterschappen veroorzaakt.       </w:t>
      </w:r>
    </w:p>
    <w:p w14:paraId="19A5ECA8" w14:textId="77777777" w:rsidR="008F03DA" w:rsidRPr="008F03DA" w:rsidRDefault="008F03DA" w:rsidP="008F03DA">
      <w:pPr>
        <w:spacing w:line="240" w:lineRule="auto"/>
        <w:rPr>
          <w:color w:val="0070C0"/>
          <w:sz w:val="16"/>
          <w:szCs w:val="16"/>
        </w:rPr>
      </w:pPr>
    </w:p>
    <w:p w14:paraId="710AE94F" w14:textId="498A81B5" w:rsidR="008F03DA" w:rsidRPr="008F03DA" w:rsidRDefault="008F03DA" w:rsidP="008F03DA">
      <w:pPr>
        <w:spacing w:line="240" w:lineRule="auto"/>
        <w:rPr>
          <w:color w:val="0070C0"/>
          <w:sz w:val="16"/>
          <w:szCs w:val="16"/>
        </w:rPr>
      </w:pPr>
      <w:r w:rsidRPr="008F03DA">
        <w:rPr>
          <w:color w:val="0070C0"/>
          <w:sz w:val="16"/>
          <w:szCs w:val="16"/>
        </w:rPr>
        <w:t>Er ontstaat hiermee een afweging tussen 'lusten en lasten' waarover een besluit genomen dient te worden. Aan Dick Konings (BRO coordinator waterschappen)  is de vraag gesteld om (via UvW) te inventariseren wat hierover de mening is bij de verschillende waterschappen.  </w:t>
      </w:r>
    </w:p>
    <w:p w14:paraId="4AA5613A" w14:textId="77777777" w:rsidR="008F03DA" w:rsidRPr="008F03DA" w:rsidRDefault="008F03DA" w:rsidP="008F03DA">
      <w:pPr>
        <w:spacing w:line="240" w:lineRule="auto"/>
        <w:rPr>
          <w:color w:val="0070C0"/>
          <w:sz w:val="16"/>
          <w:szCs w:val="16"/>
        </w:rPr>
      </w:pPr>
    </w:p>
    <w:p w14:paraId="458FCCB4" w14:textId="77777777" w:rsidR="008F03DA" w:rsidRPr="008F03DA" w:rsidRDefault="008F03DA" w:rsidP="008F03DA">
      <w:pPr>
        <w:spacing w:line="240" w:lineRule="auto"/>
        <w:rPr>
          <w:color w:val="0070C0"/>
          <w:sz w:val="16"/>
          <w:szCs w:val="16"/>
        </w:rPr>
      </w:pPr>
      <w:r w:rsidRPr="008F03DA">
        <w:rPr>
          <w:color w:val="0070C0"/>
          <w:sz w:val="16"/>
          <w:szCs w:val="16"/>
        </w:rPr>
        <w:t>Mogelijke oplossing is het toepassen van een groeimodel"voorlopig alleen grotere onttrekking in scope; later, in beheersfase ook kleinere onttrekkingen in scope nemen.</w:t>
      </w:r>
    </w:p>
    <w:p w14:paraId="38ACFF0A" w14:textId="77777777" w:rsidR="008F03DA" w:rsidRPr="008F03DA" w:rsidRDefault="008F03DA" w:rsidP="008F03DA">
      <w:pPr>
        <w:spacing w:line="240" w:lineRule="auto"/>
        <w:rPr>
          <w:color w:val="0070C0"/>
          <w:sz w:val="16"/>
          <w:szCs w:val="16"/>
        </w:rPr>
      </w:pPr>
    </w:p>
    <w:p w14:paraId="18A6D5FB" w14:textId="77777777" w:rsidR="008F03DA" w:rsidRDefault="008F03DA" w:rsidP="008F03DA">
      <w:pPr>
        <w:spacing w:line="240" w:lineRule="auto"/>
        <w:rPr>
          <w:color w:val="0070C0"/>
          <w:sz w:val="16"/>
          <w:szCs w:val="16"/>
        </w:rPr>
      </w:pPr>
      <w:r w:rsidRPr="008F03DA">
        <w:rPr>
          <w:color w:val="0070C0"/>
          <w:sz w:val="16"/>
          <w:szCs w:val="16"/>
        </w:rPr>
        <w:t>Bijkomende vraag is hierbij welke ondergrens  daarbij dan logisch is;   Wordt die grens bepaald dooor vergund volume per jaar ( in m3/jaar)  of vergund volume per jaar X vergunningsduur (totale hoeveelheid m3). Dit wordt nog nader onderzocht.</w:t>
      </w:r>
    </w:p>
    <w:p w14:paraId="6948A700" w14:textId="77777777" w:rsidR="008F03DA" w:rsidRDefault="008F03DA" w:rsidP="008F03DA">
      <w:pPr>
        <w:spacing w:line="240" w:lineRule="auto"/>
        <w:rPr>
          <w:color w:val="0070C0"/>
          <w:sz w:val="16"/>
          <w:szCs w:val="16"/>
        </w:rPr>
      </w:pPr>
    </w:p>
    <w:p w14:paraId="18A60604" w14:textId="77777777" w:rsidR="008F03DA" w:rsidRPr="008F03DA" w:rsidRDefault="008F03DA" w:rsidP="008F03DA">
      <w:pPr>
        <w:spacing w:line="240" w:lineRule="auto"/>
        <w:rPr>
          <w:b/>
          <w:bCs/>
          <w:color w:val="0070C0"/>
        </w:rPr>
      </w:pPr>
      <w:r w:rsidRPr="008F03DA">
        <w:rPr>
          <w:b/>
          <w:bCs/>
          <w:color w:val="0070C0"/>
        </w:rPr>
        <w:lastRenderedPageBreak/>
        <w:t>Scope issue 2; de vraag is of onttrekkingen van het gebruiksdoel Bodem- en/of grondwatersanering binnen dan wel buiten scope zijn.</w:t>
      </w:r>
    </w:p>
    <w:p w14:paraId="34418D23" w14:textId="77777777" w:rsidR="008F03DA" w:rsidRPr="008F03DA" w:rsidRDefault="008F03DA" w:rsidP="008F03DA">
      <w:pPr>
        <w:spacing w:line="240" w:lineRule="auto"/>
        <w:rPr>
          <w:color w:val="0070C0"/>
          <w:sz w:val="16"/>
          <w:szCs w:val="16"/>
        </w:rPr>
      </w:pPr>
    </w:p>
    <w:p w14:paraId="24E63F0A" w14:textId="77777777" w:rsidR="003312B9" w:rsidRDefault="008F03DA" w:rsidP="008F03DA">
      <w:pPr>
        <w:spacing w:line="240" w:lineRule="auto"/>
        <w:rPr>
          <w:color w:val="0070C0"/>
        </w:rPr>
      </w:pPr>
      <w:r w:rsidRPr="008F03DA">
        <w:rPr>
          <w:color w:val="0070C0"/>
          <w:sz w:val="16"/>
          <w:szCs w:val="16"/>
        </w:rPr>
        <w:t>In de Regels omtrent de Basisregistratie Ondergrond en het Besluit Basisregistratie Ondergrond staat dat de BRO ‘voorlopig’ respectievelijk ‘vooralsnog’ geen milieu(kwaliteit)informatie bevat. In het BRO programma staat het Domein Milieuhygiene op 'in onderzoek'   Daarme vallen op het eerste oog ook grondwatergebruiksystemen met gebruiksdoel Bodem- en/of grondwatersanering  rondom  milieuhygiënische projecten voorlopig buiten scope. Tegelijkertijd  is geconstateerd dat deze onttrekkingen wel vergunningsplichtig zijn onder de Waterwet (en in toekomst Omgevingswet). Diverse stakeholders hebben daarnaast aangegeven ook deze onttrekkingen binnen scope te plaatsen. omdat deze onttrekkingen ook lokaal het grondwatersysteem beinvloeden.</w:t>
      </w:r>
      <w:r w:rsidRPr="008F03DA">
        <w:rPr>
          <w:color w:val="0070C0"/>
        </w:rPr>
        <w:t> </w:t>
      </w:r>
    </w:p>
    <w:p w14:paraId="056E6FCC" w14:textId="77777777" w:rsidR="003312B9" w:rsidRDefault="003312B9" w:rsidP="008F03DA">
      <w:pPr>
        <w:spacing w:line="240" w:lineRule="auto"/>
        <w:rPr>
          <w:color w:val="0070C0"/>
        </w:rPr>
      </w:pPr>
    </w:p>
    <w:p w14:paraId="2D0C4167" w14:textId="77777777" w:rsidR="003312B9" w:rsidRDefault="003312B9" w:rsidP="003312B9">
      <w:pPr>
        <w:spacing w:line="240" w:lineRule="auto"/>
        <w:rPr>
          <w:b/>
          <w:bCs/>
          <w:color w:val="0070C0"/>
        </w:rPr>
      </w:pPr>
    </w:p>
    <w:p w14:paraId="105968F4" w14:textId="77777777" w:rsidR="003312B9" w:rsidRDefault="003312B9" w:rsidP="003312B9">
      <w:pPr>
        <w:spacing w:line="240" w:lineRule="auto"/>
        <w:rPr>
          <w:b/>
          <w:bCs/>
          <w:color w:val="0070C0"/>
        </w:rPr>
      </w:pPr>
    </w:p>
    <w:p w14:paraId="3E4B7294" w14:textId="77777777" w:rsidR="003312B9" w:rsidRDefault="003312B9" w:rsidP="003312B9">
      <w:pPr>
        <w:spacing w:line="240" w:lineRule="auto"/>
        <w:rPr>
          <w:b/>
          <w:bCs/>
          <w:color w:val="0070C0"/>
        </w:rPr>
      </w:pPr>
    </w:p>
    <w:p w14:paraId="559E9BEE" w14:textId="012DCB85" w:rsidR="003312B9" w:rsidRPr="003312B9" w:rsidRDefault="003312B9" w:rsidP="003312B9">
      <w:pPr>
        <w:spacing w:line="240" w:lineRule="auto"/>
        <w:rPr>
          <w:b/>
          <w:bCs/>
          <w:color w:val="0070C0"/>
        </w:rPr>
      </w:pPr>
      <w:r w:rsidRPr="003312B9">
        <w:rPr>
          <w:b/>
          <w:bCs/>
          <w:color w:val="0070C0"/>
        </w:rPr>
        <w:t xml:space="preserve">Scope issue 3 </w:t>
      </w:r>
      <w:r>
        <w:rPr>
          <w:b/>
          <w:bCs/>
          <w:color w:val="0070C0"/>
        </w:rPr>
        <w:t>Perifere v</w:t>
      </w:r>
      <w:r w:rsidRPr="003312B9">
        <w:rPr>
          <w:b/>
          <w:bCs/>
          <w:color w:val="0070C0"/>
        </w:rPr>
        <w:t>ormen 'grondwatergebruik' buiten scope </w:t>
      </w:r>
    </w:p>
    <w:p w14:paraId="40D0EE6D" w14:textId="77777777" w:rsidR="003312B9" w:rsidRDefault="003312B9" w:rsidP="003312B9">
      <w:pPr>
        <w:spacing w:line="240" w:lineRule="auto"/>
      </w:pPr>
    </w:p>
    <w:p w14:paraId="2A5793D5" w14:textId="4CE44A7A" w:rsidR="003312B9" w:rsidRPr="002D208B" w:rsidRDefault="003312B9" w:rsidP="003312B9">
      <w:pPr>
        <w:spacing w:line="240" w:lineRule="auto"/>
        <w:rPr>
          <w:color w:val="0070C0"/>
          <w:sz w:val="16"/>
          <w:szCs w:val="16"/>
        </w:rPr>
      </w:pPr>
      <w:r w:rsidRPr="002D208B">
        <w:rPr>
          <w:color w:val="0070C0"/>
          <w:sz w:val="16"/>
          <w:szCs w:val="16"/>
        </w:rPr>
        <w:t>Met stakeholders is ook verkend of het wenselijk/haalbaar is om gegevens van niet vergunnings/meldingsplichtige perifere 'vormen van grondwatergebruik' (= activiteiten die het grondwatersysteem beinvloeden/kenn</w:t>
      </w:r>
      <w:r w:rsidR="002D208B" w:rsidRPr="002D208B">
        <w:rPr>
          <w:color w:val="0070C0"/>
          <w:sz w:val="16"/>
          <w:szCs w:val="16"/>
        </w:rPr>
        <w:t>i</w:t>
      </w:r>
      <w:r w:rsidRPr="002D208B">
        <w:rPr>
          <w:color w:val="0070C0"/>
          <w:sz w:val="16"/>
          <w:szCs w:val="16"/>
        </w:rPr>
        <w:t>s geven over het grondwatersysteem) binnen scope te plaatsen. Op basis van deze verkenning is het voorstel om deze activiteiten buiten scope te plaatsen. Dit betreft:</w:t>
      </w:r>
    </w:p>
    <w:p w14:paraId="7CCF09BF" w14:textId="77777777" w:rsidR="003312B9" w:rsidRPr="002D208B" w:rsidRDefault="003312B9" w:rsidP="003312B9">
      <w:pPr>
        <w:spacing w:line="240" w:lineRule="auto"/>
        <w:rPr>
          <w:color w:val="0070C0"/>
          <w:sz w:val="16"/>
          <w:szCs w:val="16"/>
        </w:rPr>
      </w:pPr>
    </w:p>
    <w:p w14:paraId="2DB5ED82" w14:textId="77777777" w:rsidR="003312B9" w:rsidRPr="002D208B" w:rsidRDefault="003312B9" w:rsidP="002D208B">
      <w:pPr>
        <w:pStyle w:val="Lijstalinea"/>
        <w:numPr>
          <w:ilvl w:val="0"/>
          <w:numId w:val="51"/>
        </w:numPr>
        <w:spacing w:line="240" w:lineRule="auto"/>
        <w:rPr>
          <w:color w:val="0070C0"/>
          <w:sz w:val="16"/>
          <w:szCs w:val="16"/>
        </w:rPr>
      </w:pPr>
      <w:r w:rsidRPr="002D208B">
        <w:rPr>
          <w:color w:val="0070C0"/>
          <w:sz w:val="16"/>
          <w:szCs w:val="16"/>
        </w:rPr>
        <w:t>Hemelwaterinfiltratie</w:t>
      </w:r>
    </w:p>
    <w:p w14:paraId="3765574A" w14:textId="77777777" w:rsidR="003312B9" w:rsidRPr="002D208B" w:rsidRDefault="003312B9" w:rsidP="002D208B">
      <w:pPr>
        <w:pStyle w:val="Lijstalinea"/>
        <w:numPr>
          <w:ilvl w:val="0"/>
          <w:numId w:val="51"/>
        </w:numPr>
        <w:spacing w:line="240" w:lineRule="auto"/>
        <w:rPr>
          <w:color w:val="0070C0"/>
          <w:sz w:val="16"/>
          <w:szCs w:val="16"/>
        </w:rPr>
      </w:pPr>
      <w:r w:rsidRPr="002D208B">
        <w:rPr>
          <w:color w:val="0070C0"/>
          <w:sz w:val="16"/>
          <w:szCs w:val="16"/>
        </w:rPr>
        <w:t>Peilgestuurde drainage</w:t>
      </w:r>
    </w:p>
    <w:p w14:paraId="45D27B2A" w14:textId="77777777" w:rsidR="003312B9" w:rsidRPr="002D208B" w:rsidRDefault="003312B9" w:rsidP="002D208B">
      <w:pPr>
        <w:pStyle w:val="Lijstalinea"/>
        <w:numPr>
          <w:ilvl w:val="0"/>
          <w:numId w:val="51"/>
        </w:numPr>
        <w:spacing w:line="240" w:lineRule="auto"/>
        <w:rPr>
          <w:color w:val="0070C0"/>
          <w:sz w:val="16"/>
          <w:szCs w:val="16"/>
        </w:rPr>
      </w:pPr>
      <w:r w:rsidRPr="002D208B">
        <w:rPr>
          <w:color w:val="0070C0"/>
          <w:sz w:val="16"/>
          <w:szCs w:val="16"/>
        </w:rPr>
        <w:t>Onderbemaling</w:t>
      </w:r>
    </w:p>
    <w:p w14:paraId="364F071D" w14:textId="36CBC676" w:rsidR="00C5408C" w:rsidRDefault="003312B9" w:rsidP="002D208B">
      <w:pPr>
        <w:pStyle w:val="Lijstalinea"/>
        <w:numPr>
          <w:ilvl w:val="0"/>
          <w:numId w:val="51"/>
        </w:numPr>
        <w:spacing w:line="240" w:lineRule="auto"/>
      </w:pPr>
      <w:r w:rsidRPr="002D208B">
        <w:rPr>
          <w:color w:val="0070C0"/>
          <w:sz w:val="16"/>
          <w:szCs w:val="16"/>
        </w:rPr>
        <w:t>Debietmetingen van natuurlijke bronnen</w:t>
      </w:r>
      <w:r w:rsidR="00C5408C">
        <w:br w:type="page"/>
      </w:r>
    </w:p>
    <w:p w14:paraId="64F61364" w14:textId="5CBBD74F" w:rsidR="00533CA2" w:rsidRDefault="003039EA" w:rsidP="007E1F23">
      <w:pPr>
        <w:pStyle w:val="Kop1"/>
        <w:ind w:left="1134" w:hanging="1134"/>
      </w:pPr>
      <w:bookmarkStart w:id="11" w:name="_Toc39233682"/>
      <w:r>
        <w:lastRenderedPageBreak/>
        <w:t>7.</w:t>
      </w:r>
      <w:r>
        <w:tab/>
      </w:r>
      <w:r w:rsidR="008D1A2C">
        <w:t>R</w:t>
      </w:r>
      <w:r w:rsidR="00533CA2">
        <w:t>elevante standaarden</w:t>
      </w:r>
      <w:bookmarkEnd w:id="11"/>
    </w:p>
    <w:p w14:paraId="3585B6EF" w14:textId="77777777" w:rsidR="00DA01BC" w:rsidRDefault="00DA01BC" w:rsidP="00DA01BC">
      <w:pPr>
        <w:spacing w:line="276" w:lineRule="auto"/>
      </w:pPr>
      <w:r>
        <w:t>Voor de BRO zijn een aantal generieke normen, standaarden en protocollen voor uitwisseling van informatie, techniek etc. relevant. Voorbeelden hiervan zijn IM-metingen, NEN3610. Deze zaken zijn in dit hoofdstuk niet benoemd omdat dit een generiek aspect van de BRO betreft.</w:t>
      </w:r>
    </w:p>
    <w:p w14:paraId="65C7B6FA" w14:textId="77777777" w:rsidR="00DA01BC" w:rsidRDefault="00DA01BC" w:rsidP="00DA01BC">
      <w:pPr>
        <w:spacing w:line="276" w:lineRule="auto"/>
      </w:pPr>
    </w:p>
    <w:p w14:paraId="399D0711" w14:textId="480EE4D4" w:rsidR="00DA01BC" w:rsidRDefault="00DA01BC" w:rsidP="00DA01BC">
      <w:pPr>
        <w:spacing w:line="276" w:lineRule="auto"/>
      </w:pPr>
      <w:r>
        <w:t>Ten aanzien van dit domein  bestaan er een aantal mogelijk relevante standaarden en normen voor het definiëren van de gegevensinhoud.  De inhoud en de bruikbaarheid/toepasbaarheid ervan in de BRO wordt getoetst tijdens het standaardisatieproces.</w:t>
      </w:r>
    </w:p>
    <w:p w14:paraId="5824FC67" w14:textId="77777777" w:rsidR="00DA01BC" w:rsidRDefault="00DA01BC" w:rsidP="00DA01BC">
      <w:pPr>
        <w:spacing w:line="276" w:lineRule="auto"/>
      </w:pPr>
    </w:p>
    <w:p w14:paraId="1DF3E478" w14:textId="77777777" w:rsidR="00DA01BC" w:rsidRPr="00DA01BC" w:rsidRDefault="00DA01BC" w:rsidP="00DA01BC">
      <w:pPr>
        <w:spacing w:line="276" w:lineRule="auto"/>
        <w:rPr>
          <w:u w:val="single"/>
        </w:rPr>
      </w:pPr>
      <w:r w:rsidRPr="00DA01BC">
        <w:rPr>
          <w:u w:val="single"/>
        </w:rPr>
        <w:t>AQUO ( UM Aquo Waterwet)</w:t>
      </w:r>
    </w:p>
    <w:p w14:paraId="30909C66" w14:textId="77777777" w:rsidR="00DA01BC" w:rsidRDefault="00DA01BC" w:rsidP="00DA01BC">
      <w:pPr>
        <w:spacing w:line="276" w:lineRule="auto"/>
      </w:pPr>
    </w:p>
    <w:p w14:paraId="36CCAF80" w14:textId="77777777" w:rsidR="00DA01BC" w:rsidRDefault="00DA01BC" w:rsidP="00DA01BC">
      <w:pPr>
        <w:spacing w:line="276" w:lineRule="auto"/>
      </w:pPr>
      <w:r>
        <w:t>Dit is een standaard voor het uitwisseling van gegevens tav aanvragen van waterwetvergunning; wordt gebruikt in  het OLO,  in zaaksystemen en LGR </w:t>
      </w:r>
    </w:p>
    <w:p w14:paraId="65758F0C" w14:textId="77777777" w:rsidR="00DA01BC" w:rsidRDefault="00DA01BC" w:rsidP="00DA01BC">
      <w:pPr>
        <w:spacing w:line="276" w:lineRule="auto"/>
      </w:pPr>
    </w:p>
    <w:p w14:paraId="469CFB96" w14:textId="77777777" w:rsidR="00DA01BC" w:rsidRPr="00DA01BC" w:rsidRDefault="00DA01BC" w:rsidP="00DA01BC">
      <w:pPr>
        <w:spacing w:line="276" w:lineRule="auto"/>
        <w:rPr>
          <w:u w:val="single"/>
        </w:rPr>
      </w:pPr>
      <w:r w:rsidRPr="00DA01BC">
        <w:rPr>
          <w:u w:val="single"/>
        </w:rPr>
        <w:t>BRL SIKB 2100 Mechanisch boren;</w:t>
      </w:r>
    </w:p>
    <w:p w14:paraId="13D76B57" w14:textId="77777777" w:rsidR="00DA01BC" w:rsidRPr="00DA01BC" w:rsidRDefault="00DA01BC" w:rsidP="00DA01BC">
      <w:pPr>
        <w:spacing w:line="276" w:lineRule="auto"/>
        <w:rPr>
          <w:u w:val="single"/>
        </w:rPr>
      </w:pPr>
      <w:r w:rsidRPr="00DA01BC">
        <w:rPr>
          <w:u w:val="single"/>
        </w:rPr>
        <w:t>BRL SIKB 11000 Ondergronds deel Installaties bodemenergie;</w:t>
      </w:r>
    </w:p>
    <w:p w14:paraId="69FDBF7C" w14:textId="404E386C" w:rsidR="00DA01BC" w:rsidRPr="00DA01BC" w:rsidRDefault="00DA01BC" w:rsidP="00DA01BC">
      <w:pPr>
        <w:spacing w:line="276" w:lineRule="auto"/>
        <w:rPr>
          <w:u w:val="single"/>
        </w:rPr>
      </w:pPr>
      <w:r w:rsidRPr="00DA01BC">
        <w:rPr>
          <w:u w:val="single"/>
        </w:rPr>
        <w:t>BRL 12000 grondwateronttrekking bronbemaling</w:t>
      </w:r>
    </w:p>
    <w:p w14:paraId="46A7E91D" w14:textId="77777777" w:rsidR="00DA01BC" w:rsidRDefault="00DA01BC" w:rsidP="00DA01BC">
      <w:pPr>
        <w:spacing w:line="276" w:lineRule="auto"/>
      </w:pPr>
    </w:p>
    <w:p w14:paraId="32A6DB0C" w14:textId="77777777" w:rsidR="00DA01BC" w:rsidRDefault="00DA01BC" w:rsidP="00DA01BC">
      <w:pPr>
        <w:spacing w:line="276" w:lineRule="auto"/>
      </w:pPr>
      <w:r>
        <w:t>Dit zijn beoordelingsrichtlijnen voor het uitvoeren van boringen,  inrichten van bodemenergiesystemen en van tijdelijke grondwaterbemalingen.</w:t>
      </w:r>
    </w:p>
    <w:p w14:paraId="462E2936" w14:textId="77777777" w:rsidR="00DA01BC" w:rsidRDefault="00DA01BC" w:rsidP="00DA01BC">
      <w:pPr>
        <w:spacing w:line="276" w:lineRule="auto"/>
      </w:pPr>
    </w:p>
    <w:p w14:paraId="73EFCBE3" w14:textId="77777777" w:rsidR="00DA01BC" w:rsidRPr="00DA01BC" w:rsidRDefault="00DA01BC" w:rsidP="00DA01BC">
      <w:pPr>
        <w:spacing w:line="276" w:lineRule="auto"/>
        <w:rPr>
          <w:u w:val="single"/>
        </w:rPr>
      </w:pPr>
      <w:r w:rsidRPr="00DA01BC">
        <w:rPr>
          <w:u w:val="single"/>
        </w:rPr>
        <w:t>NEN NTA 8800 : rekenmethode energieprestatie gebouwen</w:t>
      </w:r>
    </w:p>
    <w:p w14:paraId="516DCA69" w14:textId="77777777" w:rsidR="00DA01BC" w:rsidRDefault="00DA01BC" w:rsidP="00DA01BC">
      <w:pPr>
        <w:spacing w:line="276" w:lineRule="auto"/>
      </w:pPr>
    </w:p>
    <w:p w14:paraId="7BFAFD3A" w14:textId="77777777" w:rsidR="00DA01BC" w:rsidRDefault="00DA01BC" w:rsidP="00DA01BC">
      <w:pPr>
        <w:spacing w:line="276" w:lineRule="auto"/>
      </w:pPr>
      <w:r>
        <w:t>Voor de bepaling van de energieprestatie van een gebouw is de rekenmethode NTA 8800 beschikbaar. NTA 8800 is een methodiek die van toepassing is op zowel nieuwbouw, bestaande bouw, woningbouw als utiliteitsbouw. De nieuwe methode vervangt een aantal bestaande methoden voor nieuwbouw en bestaande bouw, namelijk NEN 7120, Nader Voorschrift en ISSO 75.3. NTA 8800 volgt de Europese normen en vervangt de huidige EPC- en EI-indicatoren door de energiebehoefte per vierkante meter (kWh/m2).</w:t>
      </w:r>
    </w:p>
    <w:p w14:paraId="66D1872A" w14:textId="77777777" w:rsidR="00DA01BC" w:rsidRDefault="00DA01BC" w:rsidP="00DA01BC">
      <w:pPr>
        <w:spacing w:line="276" w:lineRule="auto"/>
      </w:pPr>
    </w:p>
    <w:p w14:paraId="0F3B4215" w14:textId="77777777" w:rsidR="00DA01BC" w:rsidRPr="00DA01BC" w:rsidRDefault="00DA01BC" w:rsidP="00DA01BC">
      <w:pPr>
        <w:spacing w:line="276" w:lineRule="auto"/>
        <w:rPr>
          <w:u w:val="single"/>
        </w:rPr>
      </w:pPr>
      <w:r w:rsidRPr="00DA01BC">
        <w:rPr>
          <w:u w:val="single"/>
        </w:rPr>
        <w:t>INSPIRE</w:t>
      </w:r>
    </w:p>
    <w:p w14:paraId="6F62E1B7" w14:textId="77777777" w:rsidR="00DA01BC" w:rsidRDefault="00DA01BC" w:rsidP="00DA01BC">
      <w:pPr>
        <w:spacing w:line="276" w:lineRule="auto"/>
      </w:pPr>
    </w:p>
    <w:p w14:paraId="3F7A0B43" w14:textId="77777777" w:rsidR="00DA01BC" w:rsidRDefault="00DA01BC" w:rsidP="00DA01BC">
      <w:pPr>
        <w:spacing w:line="276" w:lineRule="auto"/>
      </w:pPr>
      <w:r>
        <w:t xml:space="preserve">INSPIRE (Infrastructure for Spatial Information in Europe) is een initiatief van de Europese Commissie. Deelnemende landen werken hierin samen om standaarden te ontwikkelen die de uitwisseling van ruimtelijke gegevens makkelijker maakt voor het beleid over de leefomgeving. De gegevensinhoud van de BRO moet dan ook worden afgestemd met de INSPIRE standaarden voor ondergrondgegevens. In de volgende versie van het scopedocument geven we aan of we voor dit registratieobject een zgn ‘mapping’ of  ‘extend’ gaan maken op de INSPIRE standaard voor grondwatergebruiksgegevens. Deze vallen onder het INSPIRE thema 'Faciliteiten voor productie en industrie'. Bij een mapping vertalen we de gegevensinhoud van het grondwaterstandonderzoek naar het INSPIRE </w:t>
      </w:r>
      <w:r>
        <w:lastRenderedPageBreak/>
        <w:t>model. Bij een extend nemen we het INSPIRE model als uitgangspunt en breiden dat uit op de voor het grondwaterstandonderzoek benodigde punten. De gegevensinhoud van het LGR is INSPIRE compliant. Dit geeft mogelijk richting aan de standaardisatie van de registratieobjecten van dit domein. </w:t>
      </w:r>
    </w:p>
    <w:p w14:paraId="488B9F10" w14:textId="4A3DB5DB" w:rsidR="00D65144" w:rsidRDefault="00D65144">
      <w:pPr>
        <w:spacing w:line="240" w:lineRule="auto"/>
        <w:rPr>
          <w:b/>
          <w:bCs/>
        </w:rPr>
      </w:pPr>
    </w:p>
    <w:p w14:paraId="061A3C70" w14:textId="161464E7" w:rsidR="002D53F5" w:rsidRPr="002D53F5" w:rsidRDefault="002D53F5" w:rsidP="00383D29">
      <w:pPr>
        <w:spacing w:line="276" w:lineRule="auto"/>
      </w:pPr>
      <w:r w:rsidRPr="002D53F5">
        <w:br w:type="page"/>
      </w:r>
    </w:p>
    <w:p w14:paraId="378D4B63" w14:textId="6FA300B2" w:rsidR="00533CA2" w:rsidRDefault="003039EA" w:rsidP="007E1F23">
      <w:pPr>
        <w:pStyle w:val="Kop1"/>
        <w:ind w:left="1134" w:hanging="1134"/>
      </w:pPr>
      <w:bookmarkStart w:id="12" w:name="_8._Relevante_documentatie"/>
      <w:bookmarkStart w:id="13" w:name="_Toc39233683"/>
      <w:bookmarkEnd w:id="12"/>
      <w:r>
        <w:lastRenderedPageBreak/>
        <w:t>8.</w:t>
      </w:r>
      <w:r>
        <w:tab/>
      </w:r>
      <w:r w:rsidR="008D1A2C">
        <w:t>R</w:t>
      </w:r>
      <w:r w:rsidR="00533CA2">
        <w:t>elevante documentatie</w:t>
      </w:r>
      <w:bookmarkEnd w:id="13"/>
    </w:p>
    <w:p w14:paraId="1049FC93" w14:textId="77777777" w:rsidR="00DA01BC" w:rsidRPr="00DA01BC" w:rsidRDefault="00DA01BC" w:rsidP="00DA01BC">
      <w:pPr>
        <w:widowControl w:val="0"/>
        <w:autoSpaceDE w:val="0"/>
        <w:adjustRightInd w:val="0"/>
        <w:spacing w:line="276" w:lineRule="auto"/>
        <w:rPr>
          <w:rFonts w:asciiTheme="minorHAnsi" w:hAnsiTheme="minorHAnsi" w:cstheme="minorHAnsi"/>
          <w:b/>
          <w:bCs/>
          <w:color w:val="0070C0"/>
          <w:sz w:val="22"/>
          <w:szCs w:val="22"/>
        </w:rPr>
      </w:pPr>
      <w:r w:rsidRPr="00DA01BC">
        <w:rPr>
          <w:rFonts w:asciiTheme="minorHAnsi" w:hAnsiTheme="minorHAnsi" w:cstheme="minorHAnsi"/>
          <w:b/>
          <w:bCs/>
          <w:color w:val="0070C0"/>
          <w:sz w:val="22"/>
          <w:szCs w:val="22"/>
        </w:rPr>
        <w:t>Nog nader uit te werken</w:t>
      </w:r>
    </w:p>
    <w:p w14:paraId="016B3F3D" w14:textId="77777777" w:rsidR="00DA01BC" w:rsidRPr="00DA01BC" w:rsidRDefault="00DA01BC" w:rsidP="00DA01BC">
      <w:pPr>
        <w:widowControl w:val="0"/>
        <w:autoSpaceDE w:val="0"/>
        <w:adjustRightInd w:val="0"/>
        <w:spacing w:line="276" w:lineRule="auto"/>
        <w:rPr>
          <w:rFonts w:asciiTheme="minorHAnsi" w:hAnsiTheme="minorHAnsi" w:cstheme="minorHAnsi"/>
          <w:sz w:val="22"/>
          <w:szCs w:val="22"/>
        </w:rPr>
      </w:pPr>
    </w:p>
    <w:p w14:paraId="0A65C49B" w14:textId="77777777" w:rsidR="00DA01BC" w:rsidRPr="00DA01BC" w:rsidRDefault="00DA01BC" w:rsidP="00DA01BC">
      <w:pPr>
        <w:widowControl w:val="0"/>
        <w:autoSpaceDE w:val="0"/>
        <w:adjustRightInd w:val="0"/>
        <w:spacing w:line="276" w:lineRule="auto"/>
        <w:rPr>
          <w:rFonts w:asciiTheme="minorHAnsi" w:hAnsiTheme="minorHAnsi" w:cstheme="minorHAnsi"/>
          <w:sz w:val="22"/>
          <w:szCs w:val="22"/>
        </w:rPr>
      </w:pPr>
      <w:r w:rsidRPr="00DA01BC">
        <w:rPr>
          <w:rFonts w:asciiTheme="minorHAnsi" w:hAnsiTheme="minorHAnsi" w:cstheme="minorHAnsi"/>
          <w:sz w:val="22"/>
          <w:szCs w:val="22"/>
        </w:rPr>
        <w:t>Instructiehandleiding LGR</w:t>
      </w:r>
    </w:p>
    <w:p w14:paraId="7D341FAF" w14:textId="77777777" w:rsidR="00DA01BC" w:rsidRPr="00DA01BC" w:rsidRDefault="00DA01BC" w:rsidP="00DA01BC">
      <w:pPr>
        <w:widowControl w:val="0"/>
        <w:autoSpaceDE w:val="0"/>
        <w:adjustRightInd w:val="0"/>
        <w:spacing w:line="276" w:lineRule="auto"/>
        <w:rPr>
          <w:rFonts w:asciiTheme="minorHAnsi" w:hAnsiTheme="minorHAnsi" w:cstheme="minorHAnsi"/>
          <w:sz w:val="22"/>
          <w:szCs w:val="22"/>
        </w:rPr>
      </w:pPr>
      <w:r w:rsidRPr="00DA01BC">
        <w:rPr>
          <w:rFonts w:asciiTheme="minorHAnsi" w:hAnsiTheme="minorHAnsi" w:cstheme="minorHAnsi"/>
          <w:sz w:val="22"/>
          <w:szCs w:val="22"/>
        </w:rPr>
        <w:t>Waterwet en Omgevingswet info op wetten.nl</w:t>
      </w:r>
    </w:p>
    <w:p w14:paraId="53B07CD0" w14:textId="77777777" w:rsidR="00DA01BC" w:rsidRPr="00DA01BC" w:rsidRDefault="00DA01BC" w:rsidP="00DA01BC">
      <w:pPr>
        <w:widowControl w:val="0"/>
        <w:autoSpaceDE w:val="0"/>
        <w:adjustRightInd w:val="0"/>
        <w:spacing w:line="276" w:lineRule="auto"/>
        <w:rPr>
          <w:rFonts w:asciiTheme="minorHAnsi" w:hAnsiTheme="minorHAnsi" w:cstheme="minorHAnsi"/>
          <w:sz w:val="22"/>
          <w:szCs w:val="22"/>
        </w:rPr>
      </w:pPr>
      <w:r w:rsidRPr="00DA01BC">
        <w:rPr>
          <w:rFonts w:asciiTheme="minorHAnsi" w:hAnsiTheme="minorHAnsi" w:cstheme="minorHAnsi"/>
          <w:sz w:val="22"/>
          <w:szCs w:val="22"/>
        </w:rPr>
        <w:t>Vooronderzoek Bodemenergie - Kadaster</w:t>
      </w:r>
    </w:p>
    <w:p w14:paraId="34B11FF0" w14:textId="77777777" w:rsidR="00DA01BC" w:rsidRPr="00DA01BC" w:rsidRDefault="00DA01BC" w:rsidP="00DA01BC">
      <w:pPr>
        <w:widowControl w:val="0"/>
        <w:autoSpaceDE w:val="0"/>
        <w:adjustRightInd w:val="0"/>
        <w:spacing w:line="276" w:lineRule="auto"/>
        <w:rPr>
          <w:rFonts w:asciiTheme="minorHAnsi" w:hAnsiTheme="minorHAnsi" w:cstheme="minorHAnsi"/>
          <w:sz w:val="22"/>
          <w:szCs w:val="22"/>
        </w:rPr>
      </w:pPr>
      <w:r w:rsidRPr="00DA01BC">
        <w:rPr>
          <w:rFonts w:asciiTheme="minorHAnsi" w:hAnsiTheme="minorHAnsi" w:cstheme="minorHAnsi"/>
          <w:sz w:val="22"/>
          <w:szCs w:val="22"/>
        </w:rPr>
        <w:t>Vooronderzoek Architectuur Bodemenergie</w:t>
      </w:r>
    </w:p>
    <w:p w14:paraId="0A231501" w14:textId="77777777" w:rsidR="00DA01BC" w:rsidRPr="00DA01BC" w:rsidRDefault="00DA01BC" w:rsidP="00DA01BC">
      <w:pPr>
        <w:widowControl w:val="0"/>
        <w:autoSpaceDE w:val="0"/>
        <w:adjustRightInd w:val="0"/>
        <w:spacing w:line="276" w:lineRule="auto"/>
        <w:rPr>
          <w:rFonts w:asciiTheme="minorHAnsi" w:hAnsiTheme="minorHAnsi" w:cstheme="minorHAnsi"/>
          <w:sz w:val="22"/>
          <w:szCs w:val="22"/>
        </w:rPr>
      </w:pPr>
      <w:r w:rsidRPr="00DA01BC">
        <w:rPr>
          <w:rFonts w:asciiTheme="minorHAnsi" w:hAnsiTheme="minorHAnsi" w:cstheme="minorHAnsi"/>
          <w:sz w:val="22"/>
          <w:szCs w:val="22"/>
        </w:rPr>
        <w:t>Bodemplus.nl/bodemenergie</w:t>
      </w:r>
    </w:p>
    <w:p w14:paraId="021145D3" w14:textId="7EE98088" w:rsidR="002D53F5" w:rsidRDefault="00DA01BC" w:rsidP="00DA01BC">
      <w:pPr>
        <w:widowControl w:val="0"/>
        <w:autoSpaceDE w:val="0"/>
        <w:adjustRightInd w:val="0"/>
        <w:spacing w:line="276" w:lineRule="auto"/>
        <w:rPr>
          <w:rFonts w:asciiTheme="minorHAnsi" w:hAnsiTheme="minorHAnsi" w:cstheme="minorHAnsi"/>
          <w:sz w:val="22"/>
          <w:szCs w:val="22"/>
        </w:rPr>
      </w:pPr>
      <w:r w:rsidRPr="00DA01BC">
        <w:rPr>
          <w:rFonts w:asciiTheme="minorHAnsi" w:hAnsiTheme="minorHAnsi" w:cstheme="minorHAnsi"/>
          <w:sz w:val="22"/>
          <w:szCs w:val="22"/>
        </w:rPr>
        <w:t>..</w:t>
      </w:r>
    </w:p>
    <w:p w14:paraId="6BB06260" w14:textId="7B2C75C2" w:rsidR="00DA01BC" w:rsidRDefault="00DA01BC">
      <w:pPr>
        <w:spacing w:line="240" w:lineRule="auto"/>
      </w:pPr>
      <w:r>
        <w:br w:type="page"/>
      </w:r>
    </w:p>
    <w:p w14:paraId="73AE95C6" w14:textId="77777777" w:rsidR="002D53F5" w:rsidRDefault="002D53F5" w:rsidP="00383D29">
      <w:pPr>
        <w:spacing w:line="276" w:lineRule="auto"/>
      </w:pPr>
    </w:p>
    <w:p w14:paraId="68BAFBF4" w14:textId="5B5E9929" w:rsidR="00533CA2" w:rsidRDefault="003039EA" w:rsidP="007E1F23">
      <w:pPr>
        <w:pStyle w:val="Kop1"/>
        <w:ind w:left="1134" w:hanging="1134"/>
      </w:pPr>
      <w:bookmarkStart w:id="14" w:name="_9._Inhoudelijke_keuzes"/>
      <w:bookmarkStart w:id="15" w:name="_Toc39233684"/>
      <w:bookmarkEnd w:id="14"/>
      <w:r>
        <w:t>9.</w:t>
      </w:r>
      <w:r>
        <w:tab/>
      </w:r>
      <w:r w:rsidR="00533CA2">
        <w:t>Inhoudelijke keuzes op hoofdlijnen</w:t>
      </w:r>
      <w:bookmarkEnd w:id="15"/>
      <w:r w:rsidR="00533CA2">
        <w:t xml:space="preserve"> </w:t>
      </w:r>
    </w:p>
    <w:p w14:paraId="6860B2F4" w14:textId="605F93C9" w:rsidR="00C01223" w:rsidRPr="00C01223" w:rsidRDefault="00C01223" w:rsidP="007E1F23">
      <w:pPr>
        <w:pStyle w:val="Kop2"/>
        <w:ind w:left="1134" w:hanging="1134"/>
      </w:pPr>
      <w:bookmarkStart w:id="16" w:name="_Toc11338958"/>
      <w:r w:rsidRPr="008D1A2C">
        <w:t xml:space="preserve">9.1. </w:t>
      </w:r>
      <w:r w:rsidR="007E1F23">
        <w:tab/>
      </w:r>
      <w:r w:rsidRPr="008D1A2C">
        <w:t>De BRO in relatie tot informatie uit het verleden, de toekomst en overige informatie</w:t>
      </w:r>
      <w:bookmarkEnd w:id="16"/>
    </w:p>
    <w:p w14:paraId="60667D98" w14:textId="77777777" w:rsidR="000C492D" w:rsidRDefault="000C492D" w:rsidP="000C492D">
      <w:pPr>
        <w:rPr>
          <w:lang w:eastAsia="en-US"/>
        </w:rPr>
      </w:pPr>
      <w:r>
        <w:rPr>
          <w:lang w:eastAsia="en-US"/>
        </w:rPr>
        <w:t xml:space="preserve">Voor de BRO maken we met belanghebbenden afspraken over welke gegevens we gaan uitwisselen. </w:t>
      </w:r>
    </w:p>
    <w:p w14:paraId="56ED1811" w14:textId="77777777" w:rsidR="000C492D" w:rsidRDefault="000C492D" w:rsidP="000C492D">
      <w:pPr>
        <w:rPr>
          <w:lang w:eastAsia="en-US"/>
        </w:rPr>
      </w:pPr>
    </w:p>
    <w:p w14:paraId="60C13AEF" w14:textId="77777777" w:rsidR="000C492D" w:rsidRPr="001E3B01" w:rsidRDefault="000C492D" w:rsidP="000C492D">
      <w:pPr>
        <w:rPr>
          <w:i/>
          <w:iCs/>
          <w:lang w:eastAsia="en-US"/>
        </w:rPr>
      </w:pPr>
      <w:r w:rsidRPr="001E3B01">
        <w:rPr>
          <w:i/>
          <w:iCs/>
          <w:lang w:eastAsia="en-US"/>
        </w:rPr>
        <w:t>IMBRO</w:t>
      </w:r>
    </w:p>
    <w:p w14:paraId="6FFEDF34" w14:textId="77777777" w:rsidR="000C492D" w:rsidRDefault="000C492D" w:rsidP="000C492D">
      <w:pPr>
        <w:rPr>
          <w:lang w:eastAsia="en-US"/>
        </w:rPr>
      </w:pPr>
      <w:r>
        <w:rPr>
          <w:lang w:eastAsia="en-US"/>
        </w:rPr>
        <w:t>Informatie die in de toekomst vanuit het wettelijk BRO-kader moet worden aangeleverd, valt onder in het IMBRO-regime.</w:t>
      </w:r>
    </w:p>
    <w:p w14:paraId="1FC5BBD0" w14:textId="7E7DAE39" w:rsidR="000C492D" w:rsidRDefault="000C492D" w:rsidP="000C492D">
      <w:pPr>
        <w:rPr>
          <w:lang w:eastAsia="en-US"/>
        </w:rPr>
      </w:pPr>
    </w:p>
    <w:p w14:paraId="7FC2E004" w14:textId="2E50643F" w:rsidR="000C492D" w:rsidRPr="001E3B01" w:rsidRDefault="000C492D" w:rsidP="000C492D">
      <w:pPr>
        <w:rPr>
          <w:i/>
          <w:iCs/>
          <w:lang w:eastAsia="en-US"/>
        </w:rPr>
      </w:pPr>
      <w:r w:rsidRPr="001E3B01">
        <w:rPr>
          <w:i/>
          <w:iCs/>
          <w:lang w:eastAsia="en-US"/>
        </w:rPr>
        <w:t>IMBRO/A</w:t>
      </w:r>
    </w:p>
    <w:p w14:paraId="72190844" w14:textId="16640CEE" w:rsidR="000C492D" w:rsidRDefault="000C492D" w:rsidP="000C492D">
      <w:r>
        <w:rPr>
          <w:lang w:eastAsia="en-US"/>
        </w:rPr>
        <w:t xml:space="preserve">Daarnaast is er informatie die in het verleden is vastgelegd: voor de bestaande </w:t>
      </w:r>
      <w:r w:rsidRPr="00C01223">
        <w:t xml:space="preserve">archieven DINO </w:t>
      </w:r>
      <w:r>
        <w:t>(</w:t>
      </w:r>
      <w:r w:rsidRPr="00C01223">
        <w:t>van TNO-GDN</w:t>
      </w:r>
      <w:r>
        <w:t>)</w:t>
      </w:r>
      <w:r w:rsidRPr="00C01223">
        <w:t xml:space="preserve"> en BIS </w:t>
      </w:r>
      <w:r>
        <w:t>(</w:t>
      </w:r>
      <w:r w:rsidRPr="00C01223">
        <w:t>van WENR</w:t>
      </w:r>
      <w:r>
        <w:t xml:space="preserve">) bestaat een wettelijke verplichting om relevante informatie in de BRO in te brengen. Er is ook de mogelijkheid voor belanghebbenden om andere archieven op vrijwillige basis in te brengen. De eisen voor deze historische informatie leggen we vast in het IMBRO/A-regime. </w:t>
      </w:r>
    </w:p>
    <w:p w14:paraId="455EFAA2" w14:textId="05587956" w:rsidR="000C492D" w:rsidRDefault="000C492D" w:rsidP="000C492D"/>
    <w:p w14:paraId="67C20246" w14:textId="77777777" w:rsidR="000C492D" w:rsidRDefault="000C492D" w:rsidP="000C492D">
      <w:pPr>
        <w:rPr>
          <w:lang w:eastAsia="en-US"/>
        </w:rPr>
      </w:pPr>
      <w:r>
        <w:t>Tijdens het standaardisatieproces wordt in eerste instantie gekeken naar de afspraken van IMBRO, en vervolgens wordt bekeken wat dit betekent voor reeds bestaande informatie. Zo krijgt men inzicht in de verschillen en kan men IMBRO/A bepalen.</w:t>
      </w:r>
    </w:p>
    <w:p w14:paraId="0A837610" w14:textId="1E094E2A" w:rsidR="00C01223" w:rsidRPr="00C01223" w:rsidRDefault="00C01223" w:rsidP="007E1F23">
      <w:pPr>
        <w:pStyle w:val="Kop2"/>
        <w:ind w:left="1134" w:hanging="1134"/>
      </w:pPr>
      <w:bookmarkStart w:id="17" w:name="_Toc11338959"/>
      <w:r w:rsidRPr="007C6A99">
        <w:t xml:space="preserve">9.2 </w:t>
      </w:r>
      <w:r w:rsidR="007E1F23">
        <w:tab/>
      </w:r>
      <w:bookmarkEnd w:id="17"/>
      <w:r w:rsidR="00DA01BC" w:rsidRPr="00DA01BC">
        <w:t>IMBRO gegevensinhoud van Grondwatergebruiksysteem-GUF en Grondwaterproductiedossier-GPD</w:t>
      </w:r>
    </w:p>
    <w:p w14:paraId="1F1E2D4E" w14:textId="77777777" w:rsidR="00DA01BC" w:rsidRDefault="00DA01BC" w:rsidP="00DA01BC">
      <w:pPr>
        <w:spacing w:line="276" w:lineRule="auto"/>
      </w:pPr>
      <w:r>
        <w:t>Het domein Grondwatergebruik omvat twee registratieobjecten: Grondwatergebruiksysteem (de systeem-kenmerken obv vergunning- of melding) en Grondwaterproductiedossier  (periodieke gemeten productiecijfers). </w:t>
      </w:r>
    </w:p>
    <w:p w14:paraId="63BCD589" w14:textId="77777777" w:rsidR="00DA01BC" w:rsidRDefault="00DA01BC" w:rsidP="00DA01BC">
      <w:pPr>
        <w:spacing w:line="276" w:lineRule="auto"/>
      </w:pPr>
    </w:p>
    <w:p w14:paraId="71FB8D73" w14:textId="125EDC1C" w:rsidR="00C01223" w:rsidRDefault="00DA01BC" w:rsidP="00DA01BC">
      <w:pPr>
        <w:spacing w:line="276" w:lineRule="auto"/>
      </w:pPr>
      <w:r w:rsidRPr="00EC1F17">
        <w:rPr>
          <w:u w:val="single"/>
        </w:rPr>
        <w:t>Het RO Grondwatergebruiksysteem</w:t>
      </w:r>
      <w:r>
        <w:t xml:space="preserve"> is bedoeld om afnemers van de BRO inzicht te geven in systemen die grondwater gebruiken. Dit gaat zowel om het directe (oppompen of infiltreren) als indirecte (warmtecapaciteit benutten) gebruik van grondwater. In dit registratieobject worden de volgende gegevens die een algemeen belang dienen, in IMBRO kwaliteitsregime  vastgelegd:</w:t>
      </w:r>
    </w:p>
    <w:p w14:paraId="5C2ECE93" w14:textId="0AB7C448" w:rsidR="00DA01BC" w:rsidRDefault="00DA01BC" w:rsidP="00DA01BC">
      <w:pPr>
        <w:spacing w:line="276" w:lineRule="auto"/>
      </w:pPr>
    </w:p>
    <w:p w14:paraId="16FD816F" w14:textId="77777777" w:rsidR="00DA01BC" w:rsidRDefault="00DA01BC" w:rsidP="006D748D">
      <w:pPr>
        <w:pStyle w:val="Lijstalinea"/>
        <w:numPr>
          <w:ilvl w:val="0"/>
          <w:numId w:val="40"/>
        </w:numPr>
        <w:spacing w:line="276" w:lineRule="auto"/>
      </w:pPr>
      <w:r>
        <w:t>Geografische locatie: X Y coordinaten</w:t>
      </w:r>
    </w:p>
    <w:p w14:paraId="2D73B8A7" w14:textId="25AA72A9" w:rsidR="00DA01BC" w:rsidRDefault="00DA01BC" w:rsidP="006D748D">
      <w:pPr>
        <w:pStyle w:val="Lijstalinea"/>
        <w:numPr>
          <w:ilvl w:val="1"/>
          <w:numId w:val="40"/>
        </w:numPr>
        <w:spacing w:line="276" w:lineRule="auto"/>
      </w:pPr>
      <w:r w:rsidRPr="00DA01BC">
        <w:rPr>
          <w:b/>
          <w:bCs/>
          <w:color w:val="0070C0"/>
        </w:rPr>
        <w:t>Nog uitwerken:</w:t>
      </w:r>
      <w:r w:rsidRPr="00DA01BC">
        <w:rPr>
          <w:color w:val="0070C0"/>
        </w:rPr>
        <w:t xml:space="preserve"> De noodzaak/wenselijkheid  om laterale geometrie van bijv horizontale onttrekkingsputten, bodemenergiekorven of horizontale lussen en infiltratiekanalen vast te moeten/willen leggen </w:t>
      </w:r>
      <w:r>
        <w:t xml:space="preserve">  </w:t>
      </w:r>
    </w:p>
    <w:p w14:paraId="487ACF78" w14:textId="77777777" w:rsidR="00DA01BC" w:rsidRDefault="00DA01BC" w:rsidP="006D748D">
      <w:pPr>
        <w:pStyle w:val="Lijstalinea"/>
        <w:numPr>
          <w:ilvl w:val="0"/>
          <w:numId w:val="40"/>
        </w:numPr>
        <w:spacing w:line="276" w:lineRule="auto"/>
      </w:pPr>
      <w:r>
        <w:t>Bevoegd gezag</w:t>
      </w:r>
    </w:p>
    <w:p w14:paraId="2A75F913" w14:textId="77777777" w:rsidR="00DA01BC" w:rsidRDefault="00DA01BC" w:rsidP="006D748D">
      <w:pPr>
        <w:pStyle w:val="Lijstalinea"/>
        <w:numPr>
          <w:ilvl w:val="0"/>
          <w:numId w:val="40"/>
        </w:numPr>
        <w:spacing w:line="276" w:lineRule="auto"/>
      </w:pPr>
      <w:r>
        <w:lastRenderedPageBreak/>
        <w:t>Systeemeigenaar (vergunning/meldinghouder)</w:t>
      </w:r>
    </w:p>
    <w:p w14:paraId="0AE11683" w14:textId="77777777" w:rsidR="00DA01BC" w:rsidRDefault="00DA01BC" w:rsidP="006D748D">
      <w:pPr>
        <w:pStyle w:val="Lijstalinea"/>
        <w:numPr>
          <w:ilvl w:val="0"/>
          <w:numId w:val="40"/>
        </w:numPr>
        <w:spacing w:line="276" w:lineRule="auto"/>
      </w:pPr>
      <w:r>
        <w:t>Gebruiksdoel </w:t>
      </w:r>
    </w:p>
    <w:p w14:paraId="78295370" w14:textId="77777777" w:rsidR="00DA01BC" w:rsidRDefault="00DA01BC" w:rsidP="006D748D">
      <w:pPr>
        <w:pStyle w:val="Lijstalinea"/>
        <w:numPr>
          <w:ilvl w:val="0"/>
          <w:numId w:val="40"/>
        </w:numPr>
        <w:spacing w:line="276" w:lineRule="auto"/>
      </w:pPr>
      <w:r>
        <w:t>Specificatie van technisch ontwerp, zoals put/filterdiepte, pompcapaciteit</w:t>
      </w:r>
    </w:p>
    <w:p w14:paraId="6472E433" w14:textId="77777777" w:rsidR="00DA01BC" w:rsidRDefault="00DA01BC" w:rsidP="006D748D">
      <w:pPr>
        <w:pStyle w:val="Lijstalinea"/>
        <w:numPr>
          <w:ilvl w:val="0"/>
          <w:numId w:val="40"/>
        </w:numPr>
        <w:spacing w:line="276" w:lineRule="auto"/>
      </w:pPr>
      <w:r>
        <w:t>Gepland grondwatergebruik</w:t>
      </w:r>
    </w:p>
    <w:p w14:paraId="26A963C0" w14:textId="77777777" w:rsidR="00DA01BC" w:rsidRDefault="00DA01BC" w:rsidP="006D748D">
      <w:pPr>
        <w:pStyle w:val="Lijstalinea"/>
        <w:numPr>
          <w:ilvl w:val="1"/>
          <w:numId w:val="40"/>
        </w:numPr>
        <w:spacing w:line="276" w:lineRule="auto"/>
      </w:pPr>
      <w:r>
        <w:t>(vergunde) hoeveelheden</w:t>
      </w:r>
    </w:p>
    <w:p w14:paraId="4B6493D1" w14:textId="77777777" w:rsidR="00DA01BC" w:rsidRDefault="00DA01BC" w:rsidP="006D748D">
      <w:pPr>
        <w:pStyle w:val="Lijstalinea"/>
        <w:numPr>
          <w:ilvl w:val="1"/>
          <w:numId w:val="40"/>
        </w:numPr>
        <w:spacing w:line="276" w:lineRule="auto"/>
      </w:pPr>
      <w:r>
        <w:t>energetische aspecten (indien van toepassing) </w:t>
      </w:r>
    </w:p>
    <w:p w14:paraId="6C87954F" w14:textId="77777777" w:rsidR="00DA01BC" w:rsidRDefault="00DA01BC" w:rsidP="006D748D">
      <w:pPr>
        <w:pStyle w:val="Lijstalinea"/>
        <w:numPr>
          <w:ilvl w:val="0"/>
          <w:numId w:val="40"/>
        </w:numPr>
        <w:spacing w:line="276" w:lineRule="auto"/>
      </w:pPr>
      <w:r>
        <w:t>Specificaties van gerealiseerde systeem, indien deze afwijkt van het ontwerp. </w:t>
      </w:r>
    </w:p>
    <w:p w14:paraId="2877F67B" w14:textId="77777777" w:rsidR="00DA01BC" w:rsidRDefault="00DA01BC" w:rsidP="006D748D">
      <w:pPr>
        <w:pStyle w:val="Lijstalinea"/>
        <w:numPr>
          <w:ilvl w:val="0"/>
          <w:numId w:val="40"/>
        </w:numPr>
        <w:spacing w:line="276" w:lineRule="auto"/>
      </w:pPr>
      <w:r>
        <w:t>Status van de systeem  (vergund/ gerealiseerd/buiten gebruik etc) + datums</w:t>
      </w:r>
    </w:p>
    <w:p w14:paraId="1D378D0D" w14:textId="38055051" w:rsidR="00DA01BC" w:rsidRDefault="00EC1F17" w:rsidP="006D748D">
      <w:pPr>
        <w:pStyle w:val="Lijstalinea"/>
        <w:numPr>
          <w:ilvl w:val="1"/>
          <w:numId w:val="40"/>
        </w:numPr>
        <w:spacing w:line="276" w:lineRule="auto"/>
      </w:pPr>
      <w:r w:rsidRPr="00EC1F17">
        <w:rPr>
          <w:b/>
          <w:bCs/>
          <w:color w:val="0070C0"/>
        </w:rPr>
        <w:t>Nog uitwerken</w:t>
      </w:r>
      <w:r>
        <w:t>:</w:t>
      </w:r>
      <w:r w:rsidR="00DA01BC" w:rsidRPr="00EC1F17">
        <w:rPr>
          <w:color w:val="0070C0"/>
        </w:rPr>
        <w:t>Onderkend wordt dat bij bijvoorbeeld drinkwaterwinningen een verleende vergunning in subonderdelen ( bijvoorbeeld diepte of deelgebeid afhankelijk) in gebruik wordt genomen. Dit moet gegevensinhoudelijk uitgewerkt worden.</w:t>
      </w:r>
      <w:r w:rsidR="00DA01BC">
        <w:t>   </w:t>
      </w:r>
    </w:p>
    <w:p w14:paraId="06C0094C" w14:textId="77777777" w:rsidR="00EC1F17" w:rsidRDefault="00EC1F17" w:rsidP="00DA01BC">
      <w:pPr>
        <w:spacing w:line="276" w:lineRule="auto"/>
      </w:pPr>
    </w:p>
    <w:p w14:paraId="772AE052" w14:textId="5690A969" w:rsidR="00DA01BC" w:rsidRDefault="00DA01BC" w:rsidP="00DA01BC">
      <w:pPr>
        <w:spacing w:line="276" w:lineRule="auto"/>
      </w:pPr>
      <w:r>
        <w:t>Te registreren grondwatergebruiksystemen kennen een inhoudelijke hiërarchie, waarbij een vergunning één of meer systemen/installaties kan omvatten. Een systeem/installatie bestaat uit één of meer putten, bronnen of lussen. Individuele putten, bronnen of lussen kunnen op hun beurt één of meerdere filters bevatten. Van dit hoogste detailniveau (filter) is het de vraag of dit geregistreerd moet worden ivm lastendruk.</w:t>
      </w:r>
    </w:p>
    <w:p w14:paraId="42EC9742" w14:textId="77777777" w:rsidR="00DA01BC" w:rsidRDefault="00DA01BC" w:rsidP="00DA01BC">
      <w:pPr>
        <w:spacing w:line="276" w:lineRule="auto"/>
      </w:pPr>
    </w:p>
    <w:p w14:paraId="46F1C0B1" w14:textId="0973A75B" w:rsidR="00DA01BC" w:rsidRDefault="00DA01BC" w:rsidP="00DA01BC">
      <w:pPr>
        <w:spacing w:line="276" w:lineRule="auto"/>
      </w:pPr>
      <w:r>
        <w:t>Van vergunningplichtige systemen worden gegevens geregistreerd nadat de vergunning is verleend. Ook meldingsplichtige systemen zijn binnen scope.</w:t>
      </w:r>
    </w:p>
    <w:p w14:paraId="33A79B20" w14:textId="3EE70C24" w:rsidR="00DA01BC" w:rsidRDefault="00DA01BC" w:rsidP="00DA01BC">
      <w:pPr>
        <w:spacing w:line="276" w:lineRule="auto"/>
      </w:pPr>
    </w:p>
    <w:p w14:paraId="40C99D51" w14:textId="43D34E7E" w:rsidR="00EC1F17" w:rsidRDefault="00EC1F17" w:rsidP="00DA01BC">
      <w:pPr>
        <w:spacing w:line="276" w:lineRule="auto"/>
      </w:pPr>
      <w:r>
        <w:rPr>
          <w:u w:val="single"/>
        </w:rPr>
        <w:t>RO Grondwaterproductiedossier</w:t>
      </w:r>
      <w:r>
        <w:t xml:space="preserve"> is gericht op de periodieke registratie van het feitelijke gebruik van grondwater. Hierbij worden periodiek vastgelegd:</w:t>
      </w:r>
    </w:p>
    <w:p w14:paraId="09104C0C" w14:textId="77777777" w:rsidR="006D748D" w:rsidRDefault="006D748D" w:rsidP="006D748D">
      <w:pPr>
        <w:pStyle w:val="Lijstalinea"/>
        <w:numPr>
          <w:ilvl w:val="0"/>
          <w:numId w:val="41"/>
        </w:numPr>
        <w:spacing w:line="276" w:lineRule="auto"/>
      </w:pPr>
      <w:r>
        <w:t>verwijzing naar RO Grondwatergebruiksysteem</w:t>
      </w:r>
    </w:p>
    <w:p w14:paraId="51420F8C" w14:textId="55FAAE5E" w:rsidR="006D748D" w:rsidRDefault="006D748D" w:rsidP="006D748D">
      <w:pPr>
        <w:pStyle w:val="Lijstalinea"/>
        <w:numPr>
          <w:ilvl w:val="1"/>
          <w:numId w:val="41"/>
        </w:numPr>
        <w:spacing w:line="276" w:lineRule="auto"/>
      </w:pPr>
      <w:r>
        <w:rPr>
          <w:b/>
          <w:bCs/>
          <w:color w:val="0070C0"/>
        </w:rPr>
        <w:t>N</w:t>
      </w:r>
      <w:r w:rsidRPr="006D748D">
        <w:rPr>
          <w:b/>
          <w:bCs/>
          <w:color w:val="0070C0"/>
        </w:rPr>
        <w:t>og uitwerken</w:t>
      </w:r>
      <w:r>
        <w:t>: op welk niveau (systeem/installatie/put) van het systeem de verwijzing moet liggen </w:t>
      </w:r>
    </w:p>
    <w:p w14:paraId="6E5B479F" w14:textId="77777777" w:rsidR="006D748D" w:rsidRDefault="006D748D" w:rsidP="006D748D">
      <w:pPr>
        <w:pStyle w:val="Lijstalinea"/>
        <w:numPr>
          <w:ilvl w:val="0"/>
          <w:numId w:val="41"/>
        </w:numPr>
        <w:spacing w:line="276" w:lineRule="auto"/>
      </w:pPr>
      <w:r>
        <w:t>de hoeveelheid opgepompt of geïnfiltreerd water.</w:t>
      </w:r>
    </w:p>
    <w:p w14:paraId="7E35E01C" w14:textId="3ED78FD4" w:rsidR="00DA01BC" w:rsidRDefault="006D748D" w:rsidP="006D748D">
      <w:pPr>
        <w:pStyle w:val="Lijstalinea"/>
        <w:numPr>
          <w:ilvl w:val="1"/>
          <w:numId w:val="41"/>
        </w:numPr>
        <w:spacing w:line="276" w:lineRule="auto"/>
      </w:pPr>
      <w:r>
        <w:t>frequentie van registratie is in ieder geval jaarlijks, maar mogelijk per kwartaal of per maand</w:t>
      </w:r>
    </w:p>
    <w:p w14:paraId="1C26735D" w14:textId="77777777" w:rsidR="006D748D" w:rsidRDefault="006D748D" w:rsidP="00DA01BC">
      <w:pPr>
        <w:spacing w:line="276" w:lineRule="auto"/>
      </w:pPr>
    </w:p>
    <w:p w14:paraId="43ECF66A" w14:textId="302B4F10" w:rsidR="00C01223" w:rsidRDefault="00C01223" w:rsidP="00383D29">
      <w:pPr>
        <w:spacing w:line="276" w:lineRule="auto"/>
        <w:rPr>
          <w:b/>
        </w:rPr>
      </w:pPr>
      <w:r w:rsidRPr="00C01223">
        <w:rPr>
          <w:b/>
        </w:rPr>
        <w:t>Buiten scope van IMBRO</w:t>
      </w:r>
    </w:p>
    <w:p w14:paraId="0884EE76" w14:textId="77777777" w:rsidR="006D748D" w:rsidRDefault="006D748D" w:rsidP="00383D29">
      <w:pPr>
        <w:spacing w:line="276" w:lineRule="auto"/>
        <w:rPr>
          <w:b/>
        </w:rPr>
      </w:pPr>
    </w:p>
    <w:p w14:paraId="4581A828" w14:textId="77777777" w:rsidR="006D748D" w:rsidRPr="006D748D" w:rsidRDefault="006D748D" w:rsidP="006D748D">
      <w:pPr>
        <w:spacing w:line="276" w:lineRule="auto"/>
        <w:rPr>
          <w:bCs/>
        </w:rPr>
      </w:pPr>
      <w:r w:rsidRPr="006D748D">
        <w:rPr>
          <w:bCs/>
        </w:rPr>
        <w:t>Het voorstel is om de volgende aspecten buiten scope van de BRO gegevensinhoud te houden</w:t>
      </w:r>
    </w:p>
    <w:p w14:paraId="1A1CD4C2" w14:textId="77777777" w:rsidR="006D748D" w:rsidRPr="006D748D" w:rsidRDefault="006D748D" w:rsidP="006D748D">
      <w:pPr>
        <w:spacing w:line="276" w:lineRule="auto"/>
        <w:rPr>
          <w:bCs/>
        </w:rPr>
      </w:pPr>
    </w:p>
    <w:p w14:paraId="5F1AE23A" w14:textId="77777777" w:rsidR="006D748D" w:rsidRPr="006D748D" w:rsidRDefault="006D748D" w:rsidP="006D748D">
      <w:pPr>
        <w:pStyle w:val="Lijstalinea"/>
        <w:numPr>
          <w:ilvl w:val="0"/>
          <w:numId w:val="42"/>
        </w:numPr>
        <w:spacing w:line="276" w:lineRule="auto"/>
        <w:rPr>
          <w:bCs/>
        </w:rPr>
      </w:pPr>
      <w:r w:rsidRPr="006D748D">
        <w:rPr>
          <w:bCs/>
        </w:rPr>
        <w:t xml:space="preserve">Gegevens van vergunningsaanvragen, </w:t>
      </w:r>
      <w:r w:rsidRPr="006D748D">
        <w:rPr>
          <w:bCs/>
          <w:u w:val="single"/>
        </w:rPr>
        <w:t>voorafgaand</w:t>
      </w:r>
      <w:r w:rsidRPr="006D748D">
        <w:rPr>
          <w:bCs/>
        </w:rPr>
        <w:t xml:space="preserve"> aan vergunningverlening. Deze gegevens hebben nog geen formeel karakter, dienen daarmee nog geen algemeen belang (geen hergebruikswaarde) en ze hebben geen authentiek karakter.</w:t>
      </w:r>
    </w:p>
    <w:p w14:paraId="2565BD6A" w14:textId="77777777" w:rsidR="006D748D" w:rsidRPr="006D748D" w:rsidRDefault="006D748D" w:rsidP="006D748D">
      <w:pPr>
        <w:pStyle w:val="Lijstalinea"/>
        <w:numPr>
          <w:ilvl w:val="0"/>
          <w:numId w:val="42"/>
        </w:numPr>
        <w:spacing w:line="276" w:lineRule="auto"/>
        <w:rPr>
          <w:bCs/>
        </w:rPr>
      </w:pPr>
      <w:r w:rsidRPr="006D748D">
        <w:rPr>
          <w:bCs/>
          <w:u w:val="single"/>
        </w:rPr>
        <w:t>Gemodelleerde gegevens</w:t>
      </w:r>
      <w:r w:rsidRPr="006D748D">
        <w:rPr>
          <w:bCs/>
        </w:rPr>
        <w:t xml:space="preserve"> (stijghoogte en of thermische invloedsgebieden) worden niet geregistreerd. Vaststelling van deze gegevens is nog niet uniform/gestandaardiseerd. De authenticiteit van dit soort gegevens is nog niet te garanderen.</w:t>
      </w:r>
    </w:p>
    <w:p w14:paraId="3AD517F7" w14:textId="45B1BD78" w:rsidR="006D748D" w:rsidRPr="006D748D" w:rsidRDefault="006D748D" w:rsidP="006D748D">
      <w:pPr>
        <w:pStyle w:val="Lijstalinea"/>
        <w:numPr>
          <w:ilvl w:val="0"/>
          <w:numId w:val="42"/>
        </w:numPr>
        <w:spacing w:line="276" w:lineRule="auto"/>
        <w:rPr>
          <w:b/>
        </w:rPr>
      </w:pPr>
      <w:r w:rsidRPr="006D748D">
        <w:rPr>
          <w:bCs/>
        </w:rPr>
        <w:t xml:space="preserve">Voor Grondwaterproductiedossier zijn </w:t>
      </w:r>
      <w:r w:rsidRPr="006D748D">
        <w:rPr>
          <w:bCs/>
          <w:u w:val="single"/>
        </w:rPr>
        <w:t>energetische producti</w:t>
      </w:r>
      <w:r>
        <w:rPr>
          <w:bCs/>
          <w:u w:val="single"/>
        </w:rPr>
        <w:t>ecijfers</w:t>
      </w:r>
      <w:r w:rsidRPr="006D748D">
        <w:rPr>
          <w:bCs/>
        </w:rPr>
        <w:t xml:space="preserve"> van bodemenergiesystemen buiten scope. Naar aanleiding van het </w:t>
      </w:r>
      <w:r w:rsidRPr="006D748D">
        <w:rPr>
          <w:bCs/>
        </w:rPr>
        <w:lastRenderedPageBreak/>
        <w:t>Vooronderzoek Bodemenergie is in de BRO Programmastuurgroep reeds besloten om deze gegevens buiten scope te laten.</w:t>
      </w:r>
      <w:r w:rsidRPr="006D748D">
        <w:rPr>
          <w:b/>
        </w:rPr>
        <w:t> </w:t>
      </w:r>
    </w:p>
    <w:p w14:paraId="121BE0DE" w14:textId="0D002D55" w:rsidR="00C01223" w:rsidRDefault="00C01223" w:rsidP="006D748D">
      <w:pPr>
        <w:spacing w:line="276" w:lineRule="auto"/>
        <w:ind w:left="426"/>
      </w:pPr>
      <w:r w:rsidRPr="00C01223">
        <w:t xml:space="preserve"> </w:t>
      </w:r>
    </w:p>
    <w:p w14:paraId="7D3BF26E" w14:textId="7FD04FD5" w:rsidR="001B6E43" w:rsidRDefault="001B6E43">
      <w:pPr>
        <w:spacing w:line="240" w:lineRule="auto"/>
      </w:pPr>
      <w:r>
        <w:br w:type="page"/>
      </w:r>
    </w:p>
    <w:p w14:paraId="0A6238B4" w14:textId="26F05B46" w:rsidR="00C01223" w:rsidRDefault="00C01223" w:rsidP="00383D29">
      <w:pPr>
        <w:spacing w:line="276" w:lineRule="auto"/>
      </w:pPr>
      <w:r w:rsidRPr="00C01223">
        <w:lastRenderedPageBreak/>
        <w:t xml:space="preserve">De gegevensinhoudelijke onderdelen die buiten scope zijn, kunnen in de toekomst </w:t>
      </w:r>
      <w:r w:rsidR="00AE0E88">
        <w:t>(</w:t>
      </w:r>
      <w:r w:rsidRPr="00C01223">
        <w:t>in de beheerfase</w:t>
      </w:r>
      <w:r w:rsidR="00AE0E88">
        <w:t xml:space="preserve"> en</w:t>
      </w:r>
      <w:r w:rsidRPr="00C01223">
        <w:t xml:space="preserve"> na heroverweging</w:t>
      </w:r>
      <w:r w:rsidR="00AE0E88">
        <w:t>)</w:t>
      </w:r>
      <w:r w:rsidRPr="00C01223">
        <w:t xml:space="preserve"> alsnog binnen scope komen van de IMBRO</w:t>
      </w:r>
      <w:r w:rsidR="00B562F0">
        <w:t>-</w:t>
      </w:r>
      <w:r w:rsidRPr="00C01223">
        <w:t>gegevensinhoud</w:t>
      </w:r>
      <w:r w:rsidR="00AE0E88">
        <w:t xml:space="preserve"> van </w:t>
      </w:r>
      <w:r w:rsidR="006D748D">
        <w:t>dit Domein</w:t>
      </w:r>
      <w:r w:rsidRPr="00C01223">
        <w:t xml:space="preserve">. </w:t>
      </w:r>
    </w:p>
    <w:p w14:paraId="14E9271C" w14:textId="77777777" w:rsidR="003A04F7" w:rsidRPr="00C01223" w:rsidRDefault="003A04F7" w:rsidP="00383D29">
      <w:pPr>
        <w:spacing w:line="276" w:lineRule="auto"/>
      </w:pPr>
    </w:p>
    <w:p w14:paraId="1724C13F" w14:textId="41B851C4" w:rsidR="00C01223" w:rsidRPr="00C01223" w:rsidRDefault="00C01223" w:rsidP="007E1F23">
      <w:pPr>
        <w:pStyle w:val="Kop2"/>
        <w:ind w:left="1134" w:hanging="1134"/>
      </w:pPr>
      <w:bookmarkStart w:id="18" w:name="_Toc11338960"/>
      <w:r w:rsidRPr="007C6A99">
        <w:t xml:space="preserve">9.3 </w:t>
      </w:r>
      <w:r w:rsidR="007E1F23">
        <w:tab/>
      </w:r>
      <w:r w:rsidRPr="007C6A99">
        <w:t>Beheerfase standaarden</w:t>
      </w:r>
      <w:bookmarkEnd w:id="18"/>
      <w:r w:rsidRPr="00C01223">
        <w:t xml:space="preserve"> </w:t>
      </w:r>
    </w:p>
    <w:p w14:paraId="381C8ED0" w14:textId="0ECBFC21" w:rsidR="00B562F0" w:rsidRDefault="00954B0F" w:rsidP="00383D29">
      <w:pPr>
        <w:spacing w:line="276" w:lineRule="auto"/>
      </w:pPr>
      <w:r>
        <w:t>Uitkomst van het standaardisatieproces is een versie 1.0 van de standaard. Deze versie is het resultaat van afgewogen keuzes binnen de complexiteit van de vakgebieden, de verschillende heersende opvattingen binnen het werkveld en het verschil in volwassenheidsniveau van digitalisering bij belanghebbenden. De 1.0-versie is de standaard die wettelijk verplicht is.</w:t>
      </w:r>
    </w:p>
    <w:p w14:paraId="140BDEC8" w14:textId="3FB27891" w:rsidR="00EC3497" w:rsidRDefault="00EC3497">
      <w:pPr>
        <w:spacing w:line="240" w:lineRule="auto"/>
      </w:pPr>
      <w:r>
        <w:br w:type="page"/>
      </w:r>
    </w:p>
    <w:p w14:paraId="266E4938" w14:textId="4BAE3A09" w:rsidR="00C01223" w:rsidRDefault="00C01223" w:rsidP="00383D29">
      <w:pPr>
        <w:spacing w:line="276" w:lineRule="auto"/>
      </w:pPr>
      <w:r w:rsidRPr="00C01223">
        <w:lastRenderedPageBreak/>
        <w:t>Na implementatie van versie 1.0 begint het daadwerkelijk</w:t>
      </w:r>
      <w:r w:rsidR="0009130C">
        <w:t>e</w:t>
      </w:r>
      <w:r w:rsidRPr="00C01223">
        <w:t xml:space="preserve"> gebruik en zal de standaard verder ontwikkelen. De eisen en wensen voor doorontwikkeling kunnen een verschillende basis hebben, bijvoorbeeld: </w:t>
      </w:r>
    </w:p>
    <w:p w14:paraId="6FFBA369" w14:textId="77777777" w:rsidR="00B562F0" w:rsidRPr="00C01223" w:rsidRDefault="00B562F0" w:rsidP="00383D29">
      <w:pPr>
        <w:spacing w:line="276" w:lineRule="auto"/>
      </w:pPr>
    </w:p>
    <w:p w14:paraId="23B8EA95" w14:textId="58A27BF2" w:rsidR="00C01223" w:rsidRPr="00C01223" w:rsidRDefault="00C01223" w:rsidP="006D748D">
      <w:pPr>
        <w:numPr>
          <w:ilvl w:val="0"/>
          <w:numId w:val="26"/>
        </w:numPr>
        <w:spacing w:line="276" w:lineRule="auto"/>
        <w:ind w:left="284" w:hanging="284"/>
      </w:pPr>
      <w:bookmarkStart w:id="19" w:name="_Hlk530986173"/>
      <w:r w:rsidRPr="00C01223">
        <w:t xml:space="preserve">Inhoudelijke wensen (scope) die in eerdere versies niet zijn opgenomen. Het gaat om gegevens die </w:t>
      </w:r>
      <w:r w:rsidR="0009130C">
        <w:t>bij</w:t>
      </w:r>
      <w:r w:rsidRPr="00C01223">
        <w:t xml:space="preserve"> het registratieobject horen</w:t>
      </w:r>
      <w:r w:rsidR="0009130C">
        <w:t>,</w:t>
      </w:r>
      <w:r w:rsidRPr="00C01223">
        <w:t xml:space="preserve"> maar waarvoor de tijd ontbrak om </w:t>
      </w:r>
      <w:r w:rsidR="0009130C">
        <w:t>ze</w:t>
      </w:r>
      <w:r w:rsidRPr="00C01223">
        <w:t xml:space="preserve"> in een eerdere versie op te nemen. Het kan ook gaan om IMO</w:t>
      </w:r>
      <w:r w:rsidR="00363276">
        <w:t>-</w:t>
      </w:r>
      <w:r w:rsidRPr="00C01223">
        <w:t>gegevens die onder het wettelijk regime en in de BRO worden geplaatst.</w:t>
      </w:r>
    </w:p>
    <w:bookmarkEnd w:id="19"/>
    <w:p w14:paraId="080C1E4A" w14:textId="41ACC0DE" w:rsidR="00C01223" w:rsidRPr="00C01223" w:rsidRDefault="00C01223" w:rsidP="006D748D">
      <w:pPr>
        <w:numPr>
          <w:ilvl w:val="0"/>
          <w:numId w:val="26"/>
        </w:numPr>
        <w:spacing w:line="276" w:lineRule="auto"/>
        <w:ind w:left="284" w:hanging="284"/>
      </w:pPr>
      <w:r w:rsidRPr="00C01223">
        <w:t xml:space="preserve">Verbeteringen in de gegevensuitwisseling </w:t>
      </w:r>
      <w:r w:rsidR="0009130C">
        <w:t>om</w:t>
      </w:r>
      <w:r w:rsidRPr="00C01223">
        <w:t xml:space="preserve"> de kwaliteit van de uit te wisselen informatie </w:t>
      </w:r>
      <w:r w:rsidR="00CF4128">
        <w:t>te verhogen</w:t>
      </w:r>
      <w:r w:rsidRPr="00C01223">
        <w:t xml:space="preserve">. </w:t>
      </w:r>
    </w:p>
    <w:p w14:paraId="53F2AD49" w14:textId="77777777" w:rsidR="00C01223" w:rsidRDefault="00C01223" w:rsidP="006D748D">
      <w:pPr>
        <w:numPr>
          <w:ilvl w:val="0"/>
          <w:numId w:val="26"/>
        </w:numPr>
        <w:spacing w:line="276" w:lineRule="auto"/>
        <w:ind w:left="284" w:hanging="284"/>
      </w:pPr>
      <w:r w:rsidRPr="00C01223">
        <w:t xml:space="preserve">Verbeteringen die te maken hebben met de implementeerbaarheid en toepassing van de standaard. </w:t>
      </w:r>
    </w:p>
    <w:p w14:paraId="1FEEB066" w14:textId="77777777" w:rsidR="00B562F0" w:rsidRPr="00C01223" w:rsidRDefault="00B562F0" w:rsidP="00383D29">
      <w:pPr>
        <w:spacing w:line="276" w:lineRule="auto"/>
        <w:ind w:left="284"/>
      </w:pPr>
    </w:p>
    <w:p w14:paraId="22F1FB98" w14:textId="77777777" w:rsidR="00B61F93" w:rsidRDefault="00C01223" w:rsidP="00383D29">
      <w:pPr>
        <w:spacing w:line="276" w:lineRule="auto"/>
      </w:pPr>
      <w:r w:rsidRPr="00C01223">
        <w:t>Over de organisatorische invulling van het beheer en het beheerproces worden de komende periode nadere afspraken gemaakt.</w:t>
      </w:r>
    </w:p>
    <w:p w14:paraId="384DB516" w14:textId="77777777" w:rsidR="00C01223" w:rsidRDefault="00C01223" w:rsidP="00383D29">
      <w:pPr>
        <w:spacing w:line="276" w:lineRule="auto"/>
      </w:pPr>
      <w:r>
        <w:br w:type="page"/>
      </w:r>
    </w:p>
    <w:p w14:paraId="1828CFAE" w14:textId="77777777" w:rsidR="00533CA2" w:rsidRDefault="003039EA" w:rsidP="007E1F23">
      <w:pPr>
        <w:pStyle w:val="Kop1"/>
        <w:ind w:left="1134" w:hanging="1134"/>
      </w:pPr>
      <w:bookmarkStart w:id="20" w:name="_Toc39233685"/>
      <w:r>
        <w:t>10.</w:t>
      </w:r>
      <w:r>
        <w:tab/>
      </w:r>
      <w:r w:rsidR="00533CA2">
        <w:t>Aanpak en langetermijnplanning</w:t>
      </w:r>
      <w:bookmarkEnd w:id="20"/>
    </w:p>
    <w:p w14:paraId="4ED9167F" w14:textId="39367AE3" w:rsidR="006D748D" w:rsidRPr="006D748D" w:rsidRDefault="006D748D" w:rsidP="00383D29">
      <w:pPr>
        <w:spacing w:line="276" w:lineRule="auto"/>
        <w:rPr>
          <w:b/>
          <w:color w:val="0070C0"/>
        </w:rPr>
      </w:pPr>
      <w:r w:rsidRPr="006D748D">
        <w:rPr>
          <w:b/>
          <w:color w:val="0070C0"/>
        </w:rPr>
        <w:t>Nog aanpassen</w:t>
      </w:r>
    </w:p>
    <w:p w14:paraId="70B41303" w14:textId="6DEA4154" w:rsidR="00363276" w:rsidRPr="00363276" w:rsidRDefault="00394DE7" w:rsidP="00383D29">
      <w:pPr>
        <w:spacing w:line="276" w:lineRule="auto"/>
        <w:rPr>
          <w:b/>
        </w:rPr>
      </w:pPr>
      <w:r>
        <w:rPr>
          <w:b/>
        </w:rPr>
        <w:t>Aanpak</w:t>
      </w:r>
    </w:p>
    <w:p w14:paraId="05C2571C" w14:textId="21B00CAD" w:rsidR="00363276" w:rsidRDefault="00981B1A" w:rsidP="00383D29">
      <w:pPr>
        <w:spacing w:line="276" w:lineRule="auto"/>
      </w:pPr>
      <w:r>
        <w:t>De standaardisatie van een</w:t>
      </w:r>
      <w:r w:rsidR="00363276" w:rsidRPr="00363276">
        <w:t xml:space="preserve"> registratieobject </w:t>
      </w:r>
      <w:r>
        <w:t>gebeurt met</w:t>
      </w:r>
      <w:r w:rsidR="00363276" w:rsidRPr="00363276">
        <w:t xml:space="preserve"> een Agile</w:t>
      </w:r>
      <w:r>
        <w:t>-</w:t>
      </w:r>
      <w:r w:rsidR="00363276" w:rsidRPr="00363276">
        <w:t>aanpak</w:t>
      </w:r>
      <w:r>
        <w:t>, die bestaat uit</w:t>
      </w:r>
      <w:r w:rsidR="00363276" w:rsidRPr="00363276">
        <w:t xml:space="preserve"> 1</w:t>
      </w:r>
      <w:r w:rsidR="00CF4128">
        <w:t>7</w:t>
      </w:r>
      <w:r w:rsidR="00363276" w:rsidRPr="00363276">
        <w:t xml:space="preserve"> sprints van </w:t>
      </w:r>
      <w:r>
        <w:t>vier</w:t>
      </w:r>
      <w:r w:rsidR="00363276" w:rsidRPr="00363276">
        <w:t xml:space="preserve"> weken</w:t>
      </w:r>
      <w:r>
        <w:t xml:space="preserve">. De twee sprints voor het opstellen van </w:t>
      </w:r>
      <w:r w:rsidR="00CF4128">
        <w:t xml:space="preserve">het </w:t>
      </w:r>
      <w:r>
        <w:t xml:space="preserve">scopedocument lopen parallel aan de negen sprints </w:t>
      </w:r>
      <w:r w:rsidR="00CF4128">
        <w:t>voor het opstellen van de gegevenscatalogus</w:t>
      </w:r>
      <w:r w:rsidR="00363276" w:rsidRPr="00363276">
        <w:t xml:space="preserve">: </w:t>
      </w:r>
    </w:p>
    <w:p w14:paraId="0B948094" w14:textId="77777777" w:rsidR="00363276" w:rsidRPr="00363276" w:rsidRDefault="00363276" w:rsidP="00383D29">
      <w:pPr>
        <w:spacing w:line="276" w:lineRule="auto"/>
      </w:pPr>
    </w:p>
    <w:p w14:paraId="5B15521B" w14:textId="662236BA" w:rsidR="00363276" w:rsidRPr="00363276" w:rsidRDefault="00363276" w:rsidP="006D748D">
      <w:pPr>
        <w:numPr>
          <w:ilvl w:val="1"/>
          <w:numId w:val="27"/>
        </w:numPr>
        <w:spacing w:line="276" w:lineRule="auto"/>
        <w:ind w:left="426" w:hanging="284"/>
      </w:pPr>
      <w:r w:rsidRPr="00363276">
        <w:t xml:space="preserve">Twee sprints voor het opstellen van het scopedocument versie 0.9: </w:t>
      </w:r>
      <w:r w:rsidR="00981B1A">
        <w:t xml:space="preserve">een </w:t>
      </w:r>
      <w:r w:rsidRPr="00363276">
        <w:t>beschrijving van de afbakening, de wettelijke kaders</w:t>
      </w:r>
      <w:r w:rsidR="00981B1A">
        <w:t xml:space="preserve">, </w:t>
      </w:r>
      <w:r w:rsidRPr="00363276">
        <w:t>stakeholder</w:t>
      </w:r>
      <w:r w:rsidR="00981B1A">
        <w:t>s</w:t>
      </w:r>
      <w:r w:rsidRPr="00363276">
        <w:t>, software en standaardenomgeving van het registratieobject</w:t>
      </w:r>
      <w:r>
        <w:t>.</w:t>
      </w:r>
    </w:p>
    <w:p w14:paraId="5BFBB351" w14:textId="0B880CCC" w:rsidR="00363276" w:rsidRPr="00363276" w:rsidRDefault="00363276" w:rsidP="006D748D">
      <w:pPr>
        <w:numPr>
          <w:ilvl w:val="1"/>
          <w:numId w:val="27"/>
        </w:numPr>
        <w:spacing w:line="276" w:lineRule="auto"/>
        <w:ind w:left="426" w:hanging="284"/>
      </w:pPr>
      <w:r w:rsidRPr="00363276">
        <w:t>Negen sprints voor de informatieanalyse en het opstellen van versie 0.9 van de gegevenscatalogus IMBRO en (</w:t>
      </w:r>
      <w:r w:rsidR="00981B1A">
        <w:t>eventueel</w:t>
      </w:r>
      <w:r w:rsidRPr="00363276">
        <w:t>) IMBRO/A</w:t>
      </w:r>
      <w:r w:rsidR="00036E7B">
        <w:t>.</w:t>
      </w:r>
    </w:p>
    <w:p w14:paraId="621B1EA3" w14:textId="759EDE94" w:rsidR="00363276" w:rsidRPr="00363276" w:rsidRDefault="00363276" w:rsidP="006D748D">
      <w:pPr>
        <w:numPr>
          <w:ilvl w:val="2"/>
          <w:numId w:val="27"/>
        </w:numPr>
        <w:tabs>
          <w:tab w:val="num" w:pos="2160"/>
        </w:tabs>
        <w:spacing w:line="276" w:lineRule="auto"/>
        <w:ind w:left="709" w:hanging="283"/>
      </w:pPr>
      <w:r w:rsidRPr="00363276">
        <w:t xml:space="preserve">Optioneel: parallel 2 </w:t>
      </w:r>
      <w:r w:rsidR="00036E7B">
        <w:t>à</w:t>
      </w:r>
      <w:r w:rsidRPr="00363276">
        <w:t xml:space="preserve"> 3 sprints voor het visualiseren en beschrijven van het totstandkomingsproces van de inhoud van het registratieobject in een </w:t>
      </w:r>
      <w:r w:rsidR="00FE1748">
        <w:t>s</w:t>
      </w:r>
      <w:r w:rsidRPr="00363276">
        <w:t>torymap</w:t>
      </w:r>
      <w:r w:rsidR="00036E7B">
        <w:t>.</w:t>
      </w:r>
      <w:r w:rsidRPr="00363276">
        <w:t xml:space="preserve"> De behoefte aan zo’n storymap wordt in een korte verkenningsfase per registratieobject vastgesteld</w:t>
      </w:r>
      <w:r w:rsidR="00036E7B">
        <w:t>.</w:t>
      </w:r>
    </w:p>
    <w:p w14:paraId="457348DA" w14:textId="77777777" w:rsidR="00363276" w:rsidRPr="00363276" w:rsidRDefault="00363276" w:rsidP="006D748D">
      <w:pPr>
        <w:numPr>
          <w:ilvl w:val="1"/>
          <w:numId w:val="27"/>
        </w:numPr>
        <w:tabs>
          <w:tab w:val="clear" w:pos="1440"/>
          <w:tab w:val="num" w:pos="284"/>
        </w:tabs>
        <w:spacing w:line="276" w:lineRule="auto"/>
        <w:ind w:left="426" w:hanging="284"/>
      </w:pPr>
      <w:r w:rsidRPr="00363276">
        <w:t>Twee sprints voor het uitvoeren van de publieke consultatie van versie 0.9 van de</w:t>
      </w:r>
      <w:r w:rsidR="00036E7B">
        <w:t xml:space="preserve"> </w:t>
      </w:r>
      <w:r w:rsidRPr="00363276">
        <w:t>gegevenscatalogus</w:t>
      </w:r>
      <w:r w:rsidR="00036E7B">
        <w:t>.</w:t>
      </w:r>
    </w:p>
    <w:p w14:paraId="72BEB3C6" w14:textId="60932D2E" w:rsidR="00363276" w:rsidRPr="00363276" w:rsidRDefault="00CF4128" w:rsidP="006D748D">
      <w:pPr>
        <w:numPr>
          <w:ilvl w:val="1"/>
          <w:numId w:val="27"/>
        </w:numPr>
        <w:tabs>
          <w:tab w:val="clear" w:pos="1440"/>
          <w:tab w:val="num" w:pos="284"/>
        </w:tabs>
        <w:spacing w:line="276" w:lineRule="auto"/>
        <w:ind w:left="426" w:hanging="284"/>
      </w:pPr>
      <w:r>
        <w:t>Twee</w:t>
      </w:r>
      <w:r w:rsidR="00363276" w:rsidRPr="00363276">
        <w:t xml:space="preserve"> sprint</w:t>
      </w:r>
      <w:r>
        <w:t>s</w:t>
      </w:r>
      <w:r w:rsidR="00363276" w:rsidRPr="00363276">
        <w:t xml:space="preserve"> voor het verwerken van het resultaat van de publieke consultatie in versie 0.99 van de gegevenscatalogus</w:t>
      </w:r>
      <w:r w:rsidR="00036E7B">
        <w:t>.</w:t>
      </w:r>
    </w:p>
    <w:p w14:paraId="1903B84E" w14:textId="0939209F" w:rsidR="00363276" w:rsidRDefault="00363276" w:rsidP="006D748D">
      <w:pPr>
        <w:numPr>
          <w:ilvl w:val="1"/>
          <w:numId w:val="27"/>
        </w:numPr>
        <w:tabs>
          <w:tab w:val="clear" w:pos="1440"/>
          <w:tab w:val="num" w:pos="284"/>
        </w:tabs>
        <w:spacing w:line="276" w:lineRule="auto"/>
        <w:ind w:left="426" w:hanging="284"/>
      </w:pPr>
      <w:r w:rsidRPr="00363276">
        <w:t xml:space="preserve">Een sprint voor het definitief maken van de xsd’s en de berichtencatalogus. </w:t>
      </w:r>
    </w:p>
    <w:p w14:paraId="159FA071" w14:textId="77777777" w:rsidR="00CF4128" w:rsidRDefault="00CF4128" w:rsidP="006D748D">
      <w:pPr>
        <w:numPr>
          <w:ilvl w:val="1"/>
          <w:numId w:val="27"/>
        </w:numPr>
        <w:tabs>
          <w:tab w:val="clear" w:pos="1440"/>
          <w:tab w:val="num" w:pos="284"/>
        </w:tabs>
        <w:spacing w:line="276" w:lineRule="auto"/>
        <w:ind w:left="426" w:hanging="284"/>
      </w:pPr>
      <w:r w:rsidRPr="004A7B4D">
        <w:t xml:space="preserve">De ervaring leert dat de implementatie van het registratieobject door het bouwteam nog tot feedback op de standaard leidt, met name op de berichtuitwisseling. In de praktijk duurt dit twee sprints voor </w:t>
      </w:r>
      <w:r>
        <w:t xml:space="preserve">de </w:t>
      </w:r>
      <w:r w:rsidRPr="004A7B4D">
        <w:t xml:space="preserve">bouw en </w:t>
      </w:r>
      <w:r>
        <w:t>éé</w:t>
      </w:r>
      <w:r w:rsidRPr="004A7B4D">
        <w:t>n sprint voor de correctie van de standaard.</w:t>
      </w:r>
    </w:p>
    <w:p w14:paraId="6FA51E3E" w14:textId="77777777" w:rsidR="00CF4128" w:rsidRDefault="00CF4128" w:rsidP="00CF4128">
      <w:pPr>
        <w:spacing w:line="276" w:lineRule="auto"/>
        <w:ind w:left="426"/>
      </w:pPr>
    </w:p>
    <w:p w14:paraId="3E54D706" w14:textId="309822AF" w:rsidR="00363276" w:rsidRPr="00363276" w:rsidRDefault="00363276" w:rsidP="00383D29">
      <w:pPr>
        <w:spacing w:line="276" w:lineRule="auto"/>
      </w:pPr>
      <w:r w:rsidRPr="00363276">
        <w:t>Iedere sprint eindigt met een sprintreview met belanghebbenden (bronhouders, afnemers, dataleveranciers, SW</w:t>
      </w:r>
      <w:r w:rsidR="00036E7B">
        <w:t>-</w:t>
      </w:r>
      <w:r w:rsidRPr="00363276">
        <w:t>leveranciers): online en fysiek wisselen elkaar af. Er is doorlopend feedback mogelijk op de standaard via de GitHub</w:t>
      </w:r>
      <w:r w:rsidR="00981B1A">
        <w:t>-</w:t>
      </w:r>
      <w:r w:rsidRPr="00363276">
        <w:t>site en via bilateraal overleg.</w:t>
      </w:r>
    </w:p>
    <w:p w14:paraId="57C9E941" w14:textId="77777777" w:rsidR="00363276" w:rsidRPr="00363276" w:rsidRDefault="00363276" w:rsidP="00383D29">
      <w:pPr>
        <w:spacing w:line="276" w:lineRule="auto"/>
      </w:pPr>
    </w:p>
    <w:p w14:paraId="780647EA" w14:textId="1877322B" w:rsidR="00363276" w:rsidRDefault="00363276" w:rsidP="00383D29">
      <w:pPr>
        <w:spacing w:line="276" w:lineRule="auto"/>
      </w:pPr>
      <w:r w:rsidRPr="00363276">
        <w:t xml:space="preserve">Afstemming op inhoudelijke hoofdlijnen vindt plaats via de domeinbegeleidingsgroep (DBG) </w:t>
      </w:r>
      <w:r w:rsidR="00981B1A">
        <w:t>G</w:t>
      </w:r>
      <w:r w:rsidRPr="00363276">
        <w:t xml:space="preserve">rondwater. Besluitvorming vindt plaats via DBG, algemeen overleg, programmabegeleidingsgroep en programmastuurgroep. </w:t>
      </w:r>
    </w:p>
    <w:p w14:paraId="2401CC07" w14:textId="77777777" w:rsidR="00036E7B" w:rsidRDefault="00036E7B" w:rsidP="00383D29">
      <w:pPr>
        <w:spacing w:line="276" w:lineRule="auto"/>
      </w:pPr>
    </w:p>
    <w:p w14:paraId="73FCF14C" w14:textId="77777777" w:rsidR="00036E7B" w:rsidRDefault="00036E7B" w:rsidP="00383D29">
      <w:pPr>
        <w:spacing w:line="276" w:lineRule="auto"/>
      </w:pPr>
      <w:r>
        <w:br w:type="page"/>
      </w:r>
    </w:p>
    <w:p w14:paraId="2CA576E6" w14:textId="76DCCC9E" w:rsidR="00036E7B" w:rsidRPr="007A32DD" w:rsidRDefault="00036E7B" w:rsidP="00383D29">
      <w:pPr>
        <w:spacing w:line="276" w:lineRule="auto"/>
        <w:rPr>
          <w:b/>
        </w:rPr>
      </w:pPr>
      <w:r w:rsidRPr="00036E7B">
        <w:rPr>
          <w:b/>
        </w:rPr>
        <w:t>Planning</w:t>
      </w:r>
    </w:p>
    <w:p w14:paraId="1E68AB78" w14:textId="08521163" w:rsidR="00036E7B" w:rsidRDefault="00036E7B" w:rsidP="00383D29">
      <w:pPr>
        <w:spacing w:line="276" w:lineRule="auto"/>
      </w:pPr>
    </w:p>
    <w:p w14:paraId="4F71B4CB" w14:textId="5831A191" w:rsidR="00C33ABA" w:rsidRDefault="00C33ABA" w:rsidP="00383D29">
      <w:pPr>
        <w:spacing w:line="276" w:lineRule="auto"/>
      </w:pPr>
    </w:p>
    <w:p w14:paraId="03101F02" w14:textId="1C822F59" w:rsidR="00C33ABA" w:rsidRDefault="00C33ABA" w:rsidP="00383D29">
      <w:pPr>
        <w:spacing w:line="276" w:lineRule="auto"/>
      </w:pPr>
    </w:p>
    <w:p w14:paraId="495F35D6" w14:textId="64A12EAD" w:rsidR="00C33ABA" w:rsidRDefault="00C33ABA">
      <w:pPr>
        <w:spacing w:line="240" w:lineRule="auto"/>
      </w:pPr>
      <w:r>
        <w:br w:type="page"/>
      </w:r>
    </w:p>
    <w:p w14:paraId="122923CE" w14:textId="018990AC" w:rsidR="00C33ABA" w:rsidRPr="00C33ABA" w:rsidRDefault="00C33ABA" w:rsidP="00C33ABA">
      <w:pPr>
        <w:pStyle w:val="Kop1"/>
      </w:pPr>
      <w:bookmarkStart w:id="21" w:name="_Bijlage_1:_Principes"/>
      <w:bookmarkStart w:id="22" w:name="_Toc39233686"/>
      <w:bookmarkEnd w:id="21"/>
      <w:r w:rsidRPr="00C33ABA">
        <w:lastRenderedPageBreak/>
        <w:t xml:space="preserve">Bijlage 1: Principes </w:t>
      </w:r>
      <w:r>
        <w:t xml:space="preserve">voor de </w:t>
      </w:r>
      <w:r w:rsidRPr="00C33ABA">
        <w:t>mate van standaardisatie</w:t>
      </w:r>
      <w:bookmarkEnd w:id="22"/>
    </w:p>
    <w:p w14:paraId="2F9135AD" w14:textId="32CB74F5" w:rsidR="00C33ABA" w:rsidRDefault="00C33ABA" w:rsidP="00C33ABA">
      <w:r w:rsidRPr="004E57C1">
        <w:t xml:space="preserve">De reikwijdte van de standaardisatieactiviteiten is een </w:t>
      </w:r>
      <w:r>
        <w:t>blijvend punt</w:t>
      </w:r>
      <w:r w:rsidRPr="004E57C1">
        <w:t xml:space="preserve"> van aandacht.</w:t>
      </w:r>
      <w:r>
        <w:t xml:space="preserve"> </w:t>
      </w:r>
      <w:r w:rsidRPr="004E57C1">
        <w:t xml:space="preserve">De nodige eenvoud voor implementatie van de BRO enerzijds en de behoefte aan diep en breed gebruiksnut bij stakeholders anderzijds </w:t>
      </w:r>
      <w:r>
        <w:t>staan haaks op elkaar</w:t>
      </w:r>
      <w:r w:rsidRPr="004E57C1">
        <w:t>. De wet BRO geeft te weinig richting om inhoudelijke keuze</w:t>
      </w:r>
      <w:r>
        <w:t>s</w:t>
      </w:r>
      <w:r w:rsidRPr="004E57C1">
        <w:t xml:space="preserve"> op te baseren. </w:t>
      </w:r>
    </w:p>
    <w:p w14:paraId="70C4F853" w14:textId="77777777" w:rsidR="00C33ABA" w:rsidRPr="004E57C1" w:rsidRDefault="00C33ABA" w:rsidP="00C33ABA"/>
    <w:p w14:paraId="4F77771F" w14:textId="696040E5" w:rsidR="00C33ABA" w:rsidRPr="004E57C1" w:rsidRDefault="00C33ABA" w:rsidP="00C33ABA">
      <w:r>
        <w:t>Va</w:t>
      </w:r>
      <w:r w:rsidRPr="004E57C1">
        <w:t xml:space="preserve">n de </w:t>
      </w:r>
      <w:hyperlink r:id="rId13" w:history="1">
        <w:r w:rsidR="009F2F3E">
          <w:rPr>
            <w:rStyle w:val="Hyperlink"/>
          </w:rPr>
          <w:t>12 eisen voor de basisregistraties</w:t>
        </w:r>
      </w:hyperlink>
      <w:r w:rsidRPr="004E57C1">
        <w:t xml:space="preserve"> zijn de criteria </w:t>
      </w:r>
      <w:r>
        <w:t>voor</w:t>
      </w:r>
      <w:r w:rsidRPr="004E57C1">
        <w:t xml:space="preserve"> inhoud, bereik, kwaliteit en transparantie van gegevens slechts globaal beschreven. Hierdoor is </w:t>
      </w:r>
      <w:r>
        <w:t xml:space="preserve">er </w:t>
      </w:r>
      <w:r w:rsidRPr="004E57C1">
        <w:t>veel ruimte voor interpretatie. Om meer houvast en duidelijkheid te geven aan de opdrachtgever (</w:t>
      </w:r>
      <w:r>
        <w:t xml:space="preserve">het </w:t>
      </w:r>
      <w:r w:rsidRPr="004E57C1">
        <w:t>min</w:t>
      </w:r>
      <w:r>
        <w:t>isterie van</w:t>
      </w:r>
      <w:r w:rsidRPr="004E57C1">
        <w:t xml:space="preserve"> BZK), de stakeholders en aan het standaardisatieteam </w:t>
      </w:r>
      <w:r>
        <w:t>hebben</w:t>
      </w:r>
      <w:r w:rsidRPr="004E57C1">
        <w:t xml:space="preserve"> de opdrachtgever en het team standaardisatie de volgende principes voor de standaardisatie-activiteiten</w:t>
      </w:r>
      <w:r>
        <w:t xml:space="preserve"> van de BRO </w:t>
      </w:r>
      <w:r w:rsidRPr="004E57C1">
        <w:t xml:space="preserve">opgesteld: </w:t>
      </w:r>
    </w:p>
    <w:p w14:paraId="3521BA8D" w14:textId="77777777" w:rsidR="00C33ABA" w:rsidRDefault="00C33ABA" w:rsidP="00C33ABA">
      <w:pPr>
        <w:pStyle w:val="Kop2"/>
        <w:spacing w:before="0" w:line="276" w:lineRule="auto"/>
        <w:rPr>
          <w:szCs w:val="18"/>
        </w:rPr>
      </w:pPr>
    </w:p>
    <w:p w14:paraId="69FE8857" w14:textId="77777777" w:rsidR="00C33ABA" w:rsidRPr="004E57C1" w:rsidRDefault="00C33ABA" w:rsidP="00C33ABA">
      <w:pPr>
        <w:pStyle w:val="Kop2"/>
        <w:spacing w:before="0" w:line="276" w:lineRule="auto"/>
        <w:rPr>
          <w:szCs w:val="18"/>
        </w:rPr>
      </w:pPr>
      <w:r w:rsidRPr="004E57C1">
        <w:rPr>
          <w:szCs w:val="18"/>
        </w:rPr>
        <w:t>Leidende principes vanuit de opdrachtgever</w:t>
      </w:r>
    </w:p>
    <w:p w14:paraId="64C158A1" w14:textId="77777777" w:rsidR="00C33ABA" w:rsidRPr="004E57C1" w:rsidRDefault="00C33ABA" w:rsidP="006D748D">
      <w:pPr>
        <w:pStyle w:val="Lijstalinea"/>
        <w:numPr>
          <w:ilvl w:val="0"/>
          <w:numId w:val="30"/>
        </w:numPr>
        <w:autoSpaceDN/>
        <w:spacing w:line="276" w:lineRule="auto"/>
        <w:textAlignment w:val="auto"/>
      </w:pPr>
      <w:r w:rsidRPr="004E57C1">
        <w:t xml:space="preserve">Wetgeving op EU- en landelijk niveau </w:t>
      </w:r>
    </w:p>
    <w:p w14:paraId="68720F53" w14:textId="77777777" w:rsidR="00C33ABA" w:rsidRPr="004E57C1" w:rsidRDefault="00C33ABA" w:rsidP="006D748D">
      <w:pPr>
        <w:pStyle w:val="Lijstalinea"/>
        <w:numPr>
          <w:ilvl w:val="0"/>
          <w:numId w:val="30"/>
        </w:numPr>
        <w:autoSpaceDN/>
        <w:spacing w:line="276" w:lineRule="auto"/>
        <w:textAlignment w:val="auto"/>
        <w:rPr>
          <w:lang w:val="en-US"/>
        </w:rPr>
      </w:pPr>
      <w:r w:rsidRPr="004E57C1">
        <w:rPr>
          <w:lang w:val="en-US"/>
        </w:rPr>
        <w:t>Minimal viable product</w:t>
      </w:r>
      <w:r>
        <w:rPr>
          <w:lang w:val="en-US"/>
        </w:rPr>
        <w:t>:</w:t>
      </w:r>
      <w:r w:rsidRPr="004E57C1">
        <w:rPr>
          <w:lang w:val="en-US"/>
        </w:rPr>
        <w:t xml:space="preserve"> keep it simple </w:t>
      </w:r>
    </w:p>
    <w:p w14:paraId="7AC2C023" w14:textId="77777777" w:rsidR="00C33ABA" w:rsidRPr="004E57C1" w:rsidRDefault="00C33ABA" w:rsidP="006D748D">
      <w:pPr>
        <w:pStyle w:val="Lijstalinea"/>
        <w:numPr>
          <w:ilvl w:val="0"/>
          <w:numId w:val="30"/>
        </w:numPr>
        <w:autoSpaceDN/>
        <w:spacing w:line="276" w:lineRule="auto"/>
        <w:textAlignment w:val="auto"/>
      </w:pPr>
      <w:r w:rsidRPr="004E57C1">
        <w:t>Bestuurlijke afwegingen:</w:t>
      </w:r>
    </w:p>
    <w:p w14:paraId="1C51E884" w14:textId="77777777" w:rsidR="00C33ABA" w:rsidRPr="004E57C1" w:rsidRDefault="00C33ABA" w:rsidP="006D748D">
      <w:pPr>
        <w:pStyle w:val="Lijstalinea"/>
        <w:numPr>
          <w:ilvl w:val="1"/>
          <w:numId w:val="30"/>
        </w:numPr>
        <w:autoSpaceDN/>
        <w:spacing w:line="276" w:lineRule="auto"/>
        <w:textAlignment w:val="auto"/>
      </w:pPr>
      <w:r>
        <w:t>b</w:t>
      </w:r>
      <w:r w:rsidRPr="004E57C1">
        <w:t>eperking faalkosten: inzicht in de ondergrond (MIRT, HWBP)</w:t>
      </w:r>
    </w:p>
    <w:p w14:paraId="0D51D5B7" w14:textId="77777777" w:rsidR="00C33ABA" w:rsidRPr="004E57C1" w:rsidRDefault="00C33ABA" w:rsidP="006D748D">
      <w:pPr>
        <w:pStyle w:val="Lijstalinea"/>
        <w:numPr>
          <w:ilvl w:val="1"/>
          <w:numId w:val="30"/>
        </w:numPr>
        <w:autoSpaceDN/>
        <w:spacing w:line="276" w:lineRule="auto"/>
        <w:textAlignment w:val="auto"/>
      </w:pPr>
      <w:r>
        <w:t>d</w:t>
      </w:r>
      <w:r w:rsidRPr="004E57C1">
        <w:t>raagt bij aan het Wettelijk beoordelingsinstrumentarium (WBI) primaire waterkeringen (Deltaprogramma)</w:t>
      </w:r>
    </w:p>
    <w:p w14:paraId="17808514" w14:textId="519E3C4B" w:rsidR="00C33ABA" w:rsidRPr="004E57C1" w:rsidRDefault="00C33ABA" w:rsidP="006D748D">
      <w:pPr>
        <w:pStyle w:val="Lijstalinea"/>
        <w:numPr>
          <w:ilvl w:val="1"/>
          <w:numId w:val="30"/>
        </w:numPr>
        <w:autoSpaceDN/>
        <w:spacing w:line="276" w:lineRule="auto"/>
        <w:textAlignment w:val="auto"/>
      </w:pPr>
      <w:r>
        <w:t>r</w:t>
      </w:r>
      <w:r w:rsidRPr="004E57C1">
        <w:t>uimtelijke beperking: wat ligt waar? (o</w:t>
      </w:r>
      <w:r w:rsidR="000351C9">
        <w:t>nder andere</w:t>
      </w:r>
      <w:r w:rsidRPr="004E57C1">
        <w:t xml:space="preserve"> Instrumenten Omgevingswet)</w:t>
      </w:r>
    </w:p>
    <w:p w14:paraId="387E2190" w14:textId="1AB66755" w:rsidR="00C33ABA" w:rsidRPr="004E57C1" w:rsidRDefault="00C33ABA" w:rsidP="006D748D">
      <w:pPr>
        <w:pStyle w:val="Lijstalinea"/>
        <w:numPr>
          <w:ilvl w:val="1"/>
          <w:numId w:val="30"/>
        </w:numPr>
        <w:autoSpaceDN/>
        <w:spacing w:line="276" w:lineRule="auto"/>
        <w:textAlignment w:val="auto"/>
      </w:pPr>
      <w:r>
        <w:t>w</w:t>
      </w:r>
      <w:r w:rsidRPr="004E57C1">
        <w:t>at heeft impact op de fysieke omgeving (o</w:t>
      </w:r>
      <w:r w:rsidR="000351C9">
        <w:t>nder andere</w:t>
      </w:r>
      <w:r w:rsidRPr="004E57C1">
        <w:t xml:space="preserve"> energietransitie)?</w:t>
      </w:r>
    </w:p>
    <w:p w14:paraId="59DA6E39" w14:textId="77777777" w:rsidR="00C33ABA" w:rsidRPr="004E57C1" w:rsidRDefault="00C33ABA" w:rsidP="006D748D">
      <w:pPr>
        <w:pStyle w:val="Lijstalinea"/>
        <w:numPr>
          <w:ilvl w:val="0"/>
          <w:numId w:val="30"/>
        </w:numPr>
        <w:autoSpaceDN/>
        <w:spacing w:line="276" w:lineRule="auto"/>
        <w:textAlignment w:val="auto"/>
      </w:pPr>
      <w:r>
        <w:t>A</w:t>
      </w:r>
      <w:r w:rsidRPr="004E57C1">
        <w:t>lleen statische, geen dynamische modellen</w:t>
      </w:r>
    </w:p>
    <w:p w14:paraId="2BC3638A" w14:textId="77777777" w:rsidR="00C33ABA" w:rsidRDefault="00C33ABA" w:rsidP="00C33ABA">
      <w:pPr>
        <w:pStyle w:val="Kop2"/>
        <w:spacing w:before="0" w:line="276" w:lineRule="auto"/>
        <w:rPr>
          <w:szCs w:val="18"/>
        </w:rPr>
      </w:pPr>
    </w:p>
    <w:p w14:paraId="01CE6F04" w14:textId="77777777" w:rsidR="00C33ABA" w:rsidRPr="004E57C1" w:rsidRDefault="00C33ABA" w:rsidP="00C33ABA">
      <w:pPr>
        <w:pStyle w:val="Kop2"/>
        <w:spacing w:before="0" w:line="276" w:lineRule="auto"/>
        <w:rPr>
          <w:szCs w:val="18"/>
        </w:rPr>
      </w:pPr>
      <w:r w:rsidRPr="004E57C1">
        <w:rPr>
          <w:szCs w:val="18"/>
        </w:rPr>
        <w:t>Principes omtrent proces</w:t>
      </w:r>
    </w:p>
    <w:p w14:paraId="6785A3AC" w14:textId="77777777" w:rsidR="00C33ABA" w:rsidRPr="004E57C1" w:rsidRDefault="00C33ABA" w:rsidP="006D748D">
      <w:pPr>
        <w:pStyle w:val="Lijstalinea"/>
        <w:numPr>
          <w:ilvl w:val="0"/>
          <w:numId w:val="28"/>
        </w:numPr>
        <w:autoSpaceDN/>
        <w:spacing w:line="276" w:lineRule="auto"/>
        <w:textAlignment w:val="auto"/>
      </w:pPr>
      <w:r w:rsidRPr="004E57C1">
        <w:t>De opdrachtgever geeft bij aanvang van het standaardiseren van een domein of registratieobject de beoogde scope, de primaire gebruikersgroep(en), de bestaande afspraken en andere randvoorwaarden mee aan het standaardisatieteam, en bespreekt met het standaardisatieteam de uitwerking van de leidende principes op het standaardisatietraject</w:t>
      </w:r>
      <w:r>
        <w:t>.</w:t>
      </w:r>
    </w:p>
    <w:p w14:paraId="0CE4F8AC" w14:textId="77777777" w:rsidR="00C33ABA" w:rsidRPr="004E57C1" w:rsidRDefault="00C33ABA" w:rsidP="006D748D">
      <w:pPr>
        <w:pStyle w:val="Lijstalinea"/>
        <w:numPr>
          <w:ilvl w:val="0"/>
          <w:numId w:val="28"/>
        </w:numPr>
        <w:autoSpaceDN/>
        <w:spacing w:line="276" w:lineRule="auto"/>
        <w:textAlignment w:val="auto"/>
      </w:pPr>
      <w:r w:rsidRPr="004E57C1">
        <w:t>Het standaardisatieteam volgt de scopewijzigingsprocedure:</w:t>
      </w:r>
    </w:p>
    <w:p w14:paraId="47249A47" w14:textId="77777777" w:rsidR="00C33ABA" w:rsidRPr="004E57C1" w:rsidRDefault="00C33ABA" w:rsidP="006D748D">
      <w:pPr>
        <w:pStyle w:val="Lijstalinea"/>
        <w:numPr>
          <w:ilvl w:val="1"/>
          <w:numId w:val="28"/>
        </w:numPr>
        <w:autoSpaceDN/>
        <w:spacing w:line="276" w:lineRule="auto"/>
        <w:textAlignment w:val="auto"/>
      </w:pPr>
      <w:r>
        <w:t>h</w:t>
      </w:r>
      <w:r w:rsidRPr="004E57C1">
        <w:t xml:space="preserve">et standaardisatieteam draagt bij aan het opstellen van de </w:t>
      </w:r>
      <w:r w:rsidRPr="004E57C1">
        <w:rPr>
          <w:u w:val="single"/>
        </w:rPr>
        <w:t>outline scope en business case</w:t>
      </w:r>
      <w:r>
        <w:rPr>
          <w:u w:val="single"/>
        </w:rPr>
        <w:t>.</w:t>
      </w:r>
      <w:r w:rsidRPr="004E57C1">
        <w:t xml:space="preserve"> </w:t>
      </w:r>
    </w:p>
    <w:p w14:paraId="623F6DAF" w14:textId="77777777" w:rsidR="00C33ABA" w:rsidRPr="004E57C1" w:rsidRDefault="00C33ABA" w:rsidP="006D748D">
      <w:pPr>
        <w:pStyle w:val="Lijstalinea"/>
        <w:numPr>
          <w:ilvl w:val="1"/>
          <w:numId w:val="28"/>
        </w:numPr>
        <w:autoSpaceDN/>
        <w:spacing w:line="276" w:lineRule="auto"/>
        <w:textAlignment w:val="auto"/>
      </w:pPr>
      <w:r>
        <w:t>h</w:t>
      </w:r>
      <w:r w:rsidRPr="004E57C1">
        <w:t xml:space="preserve">et standaardisatieteam draagt bij aan het opstellen van de </w:t>
      </w:r>
      <w:r w:rsidRPr="004E57C1">
        <w:rPr>
          <w:u w:val="single"/>
        </w:rPr>
        <w:t>uitgewerkte scope en business case.</w:t>
      </w:r>
    </w:p>
    <w:p w14:paraId="228E193A" w14:textId="5E5F6BB5" w:rsidR="009A63FD" w:rsidRDefault="00C33ABA" w:rsidP="006D748D">
      <w:pPr>
        <w:pStyle w:val="Lijstalinea"/>
        <w:numPr>
          <w:ilvl w:val="1"/>
          <w:numId w:val="28"/>
        </w:numPr>
        <w:autoSpaceDN/>
        <w:spacing w:line="276" w:lineRule="auto"/>
        <w:textAlignment w:val="auto"/>
      </w:pPr>
      <w:r>
        <w:t>h</w:t>
      </w:r>
      <w:r w:rsidRPr="004E57C1">
        <w:t xml:space="preserve">et standaardisatieteam stelt de </w:t>
      </w:r>
      <w:r w:rsidRPr="004E57C1">
        <w:rPr>
          <w:u w:val="single"/>
        </w:rPr>
        <w:t>keuze standaardisatieniveau</w:t>
      </w:r>
      <w:r w:rsidRPr="004E57C1">
        <w:t xml:space="preserve"> op door bij aanvang van de werkzaamheden een scopedocument op te stellen samen met de belanghebbenden. De uitgangspunten van de opdrachtgever maken hier deel van uit.</w:t>
      </w:r>
      <w:r w:rsidR="009A63FD">
        <w:br w:type="page"/>
      </w:r>
    </w:p>
    <w:p w14:paraId="513B70B8" w14:textId="77777777" w:rsidR="009A63FD" w:rsidRPr="004E57C1" w:rsidRDefault="009A63FD" w:rsidP="009A63FD">
      <w:pPr>
        <w:pStyle w:val="Lijstalinea"/>
        <w:autoSpaceDN/>
        <w:spacing w:line="276" w:lineRule="auto"/>
        <w:ind w:left="1080"/>
        <w:textAlignment w:val="auto"/>
      </w:pPr>
    </w:p>
    <w:p w14:paraId="0FC50BEA" w14:textId="77777777" w:rsidR="00C33ABA" w:rsidRPr="004E57C1" w:rsidRDefault="00C33ABA" w:rsidP="006D748D">
      <w:pPr>
        <w:pStyle w:val="Lijstalinea"/>
        <w:numPr>
          <w:ilvl w:val="0"/>
          <w:numId w:val="28"/>
        </w:numPr>
        <w:autoSpaceDN/>
        <w:spacing w:line="276" w:lineRule="auto"/>
        <w:textAlignment w:val="auto"/>
      </w:pPr>
      <w:r w:rsidRPr="004E57C1">
        <w:t xml:space="preserve">Het standaardisatieteam werkt iteratief met stakeholders bij het ontwikkelen van de standaard. </w:t>
      </w:r>
    </w:p>
    <w:p w14:paraId="1566D47F" w14:textId="77777777" w:rsidR="00C33ABA" w:rsidRPr="004E57C1" w:rsidRDefault="00C33ABA" w:rsidP="006D748D">
      <w:pPr>
        <w:pStyle w:val="Lijstalinea"/>
        <w:numPr>
          <w:ilvl w:val="0"/>
          <w:numId w:val="28"/>
        </w:numPr>
        <w:autoSpaceDN/>
        <w:spacing w:line="276" w:lineRule="auto"/>
        <w:textAlignment w:val="auto"/>
      </w:pPr>
      <w:r w:rsidRPr="004E57C1">
        <w:t xml:space="preserve">Bij alle stappen stelt de PSG vast (advies aan de </w:t>
      </w:r>
      <w:r>
        <w:t>m</w:t>
      </w:r>
      <w:r w:rsidRPr="004E57C1">
        <w:t xml:space="preserve">inister van BZK), de DBG en de PBG adviseren. </w:t>
      </w:r>
    </w:p>
    <w:p w14:paraId="24F2C05D" w14:textId="77777777" w:rsidR="00C33ABA" w:rsidRDefault="00C33ABA" w:rsidP="00C33ABA">
      <w:pPr>
        <w:pStyle w:val="Kop2"/>
        <w:spacing w:before="0" w:line="276" w:lineRule="auto"/>
        <w:rPr>
          <w:szCs w:val="18"/>
        </w:rPr>
      </w:pPr>
    </w:p>
    <w:p w14:paraId="0FCA7A6B" w14:textId="77777777" w:rsidR="00C33ABA" w:rsidRPr="004E57C1" w:rsidRDefault="00C33ABA" w:rsidP="00C33ABA">
      <w:pPr>
        <w:pStyle w:val="Kop2"/>
        <w:spacing w:before="0" w:line="276" w:lineRule="auto"/>
        <w:rPr>
          <w:szCs w:val="18"/>
        </w:rPr>
      </w:pPr>
      <w:r w:rsidRPr="004E57C1">
        <w:rPr>
          <w:szCs w:val="18"/>
        </w:rPr>
        <w:t>Principes omtrent inhoud</w:t>
      </w:r>
    </w:p>
    <w:p w14:paraId="65C70B0C" w14:textId="77777777" w:rsidR="00C33ABA" w:rsidRPr="004E57C1" w:rsidRDefault="00C33ABA" w:rsidP="006D748D">
      <w:pPr>
        <w:pStyle w:val="Lijstalinea"/>
        <w:numPr>
          <w:ilvl w:val="0"/>
          <w:numId w:val="29"/>
        </w:numPr>
        <w:autoSpaceDN/>
        <w:spacing w:line="276" w:lineRule="auto"/>
        <w:textAlignment w:val="auto"/>
      </w:pPr>
      <w:r w:rsidRPr="004E57C1">
        <w:t>De minimale inhoud van een registratieobject hangt af van de doelgroep (stakeholders) en het gebruiksnut (beoogd doel). De opdrachtgever is hierin leidend</w:t>
      </w:r>
      <w:r>
        <w:t>:</w:t>
      </w:r>
      <w:r w:rsidRPr="004E57C1">
        <w:t xml:space="preserve"> zie procesprincipe #1.</w:t>
      </w:r>
    </w:p>
    <w:p w14:paraId="1FFFC3B2" w14:textId="77777777" w:rsidR="00C33ABA" w:rsidRPr="004E57C1" w:rsidRDefault="00C33ABA" w:rsidP="006D748D">
      <w:pPr>
        <w:pStyle w:val="Lijstalinea"/>
        <w:numPr>
          <w:ilvl w:val="0"/>
          <w:numId w:val="29"/>
        </w:numPr>
        <w:autoSpaceDN/>
        <w:spacing w:line="276" w:lineRule="auto"/>
        <w:textAlignment w:val="auto"/>
      </w:pPr>
      <w:r w:rsidRPr="004E57C1">
        <w:t>Bij de afweging van belangen (inhoudelijke keuze</w:t>
      </w:r>
      <w:r>
        <w:t>s</w:t>
      </w:r>
      <w:r w:rsidRPr="004E57C1">
        <w:t xml:space="preserve">) hanteert het standaardisatieteam de volgende prioriteiten: </w:t>
      </w:r>
    </w:p>
    <w:p w14:paraId="32035291" w14:textId="4D5674C3" w:rsidR="00C33ABA" w:rsidRPr="004E57C1" w:rsidRDefault="00C33ABA" w:rsidP="006D748D">
      <w:pPr>
        <w:pStyle w:val="Lijstalinea"/>
        <w:numPr>
          <w:ilvl w:val="1"/>
          <w:numId w:val="31"/>
        </w:numPr>
        <w:autoSpaceDN/>
        <w:spacing w:line="276" w:lineRule="auto"/>
        <w:textAlignment w:val="auto"/>
      </w:pPr>
      <w:r>
        <w:t>k</w:t>
      </w:r>
      <w:r w:rsidRPr="004E57C1">
        <w:t>aders: EU</w:t>
      </w:r>
      <w:r>
        <w:t>-</w:t>
      </w:r>
      <w:r w:rsidRPr="004E57C1">
        <w:t>wetgeving, NL</w:t>
      </w:r>
      <w:r w:rsidR="00A80DE5">
        <w:t>-</w:t>
      </w:r>
      <w:r w:rsidRPr="004E57C1">
        <w:t>wetgeving, kaders van de opdrachtgever, relevante normen en standaarden, interne consistentie BRO</w:t>
      </w:r>
    </w:p>
    <w:p w14:paraId="4483426B" w14:textId="77777777" w:rsidR="00C33ABA" w:rsidRPr="004E57C1" w:rsidRDefault="00C33ABA" w:rsidP="006D748D">
      <w:pPr>
        <w:pStyle w:val="Lijstalinea"/>
        <w:numPr>
          <w:ilvl w:val="1"/>
          <w:numId w:val="31"/>
        </w:numPr>
        <w:autoSpaceDN/>
        <w:spacing w:line="276" w:lineRule="auto"/>
        <w:textAlignment w:val="auto"/>
      </w:pPr>
      <w:r>
        <w:t>s</w:t>
      </w:r>
      <w:r w:rsidRPr="004E57C1">
        <w:t>takeholders: afnemer, bronhouder, dataproducent, dataleverancier, softwareleverancier, beheerder, ketenvoorzieningen</w:t>
      </w:r>
    </w:p>
    <w:p w14:paraId="7A97D01E" w14:textId="77777777" w:rsidR="00C33ABA" w:rsidRPr="004E57C1" w:rsidRDefault="00C33ABA" w:rsidP="006D748D">
      <w:pPr>
        <w:pStyle w:val="Lijstalinea"/>
        <w:numPr>
          <w:ilvl w:val="1"/>
          <w:numId w:val="31"/>
        </w:numPr>
        <w:autoSpaceDN/>
        <w:spacing w:line="276" w:lineRule="auto"/>
        <w:textAlignment w:val="auto"/>
      </w:pPr>
      <w:r>
        <w:t>g</w:t>
      </w:r>
      <w:r w:rsidRPr="004E57C1">
        <w:t xml:space="preserve">ebruik: </w:t>
      </w:r>
      <w:r>
        <w:t>p</w:t>
      </w:r>
      <w:r w:rsidRPr="004E57C1">
        <w:t>roduceerbaar, herbruikbaar</w:t>
      </w:r>
      <w:r>
        <w:t xml:space="preserve"> </w:t>
      </w:r>
      <w:r w:rsidRPr="004E57C1">
        <w:t>(door zoveel mogelijk derden), implementeerbaar, beheerbaar</w:t>
      </w:r>
    </w:p>
    <w:p w14:paraId="2D181984" w14:textId="77777777" w:rsidR="00C33ABA" w:rsidRPr="004E57C1" w:rsidRDefault="00C33ABA" w:rsidP="006D748D">
      <w:pPr>
        <w:pStyle w:val="Lijstalinea"/>
        <w:numPr>
          <w:ilvl w:val="0"/>
          <w:numId w:val="29"/>
        </w:numPr>
        <w:autoSpaceDN/>
        <w:spacing w:line="276" w:lineRule="auto"/>
        <w:textAlignment w:val="auto"/>
      </w:pPr>
      <w:r w:rsidRPr="004E57C1">
        <w:t xml:space="preserve">Een beoogd gegeven </w:t>
      </w:r>
      <w:r>
        <w:t>d</w:t>
      </w:r>
      <w:r w:rsidRPr="004E57C1">
        <w:t xml:space="preserve">at niet definieerbaar is in gestructureerde gegevens komt niet in de BRO. </w:t>
      </w:r>
    </w:p>
    <w:p w14:paraId="1097B84B" w14:textId="77777777" w:rsidR="00C33ABA" w:rsidRPr="004E57C1" w:rsidRDefault="00C33ABA" w:rsidP="006D748D">
      <w:pPr>
        <w:pStyle w:val="Lijstalinea"/>
        <w:numPr>
          <w:ilvl w:val="0"/>
          <w:numId w:val="29"/>
        </w:numPr>
        <w:autoSpaceDN/>
        <w:spacing w:line="276" w:lineRule="auto"/>
        <w:textAlignment w:val="auto"/>
      </w:pPr>
      <w:r w:rsidRPr="004E57C1">
        <w:t>Een registratieobject wordt niet omvangrijker gemaakt dan nodig is voor het beoogde doel (</w:t>
      </w:r>
      <w:r w:rsidRPr="009F5DFB">
        <w:rPr>
          <w:i/>
          <w:iCs/>
        </w:rPr>
        <w:t>minimal viable product</w:t>
      </w:r>
      <w:r w:rsidRPr="004E57C1">
        <w:t>).</w:t>
      </w:r>
    </w:p>
    <w:p w14:paraId="2785D8D5" w14:textId="77777777" w:rsidR="00C33ABA" w:rsidRPr="004E57C1" w:rsidRDefault="00C33ABA" w:rsidP="006D748D">
      <w:pPr>
        <w:pStyle w:val="Lijstalinea"/>
        <w:numPr>
          <w:ilvl w:val="1"/>
          <w:numId w:val="29"/>
        </w:numPr>
        <w:autoSpaceDN/>
        <w:spacing w:line="276" w:lineRule="auto"/>
        <w:textAlignment w:val="auto"/>
      </w:pPr>
      <w:r w:rsidRPr="004E57C1">
        <w:t>Geen deelleveringen, tenzij…</w:t>
      </w:r>
    </w:p>
    <w:p w14:paraId="54DC3713" w14:textId="77777777" w:rsidR="00C33ABA" w:rsidRPr="004E57C1" w:rsidRDefault="00C33ABA" w:rsidP="006D748D">
      <w:pPr>
        <w:pStyle w:val="Lijstalinea"/>
        <w:numPr>
          <w:ilvl w:val="1"/>
          <w:numId w:val="29"/>
        </w:numPr>
        <w:autoSpaceDN/>
        <w:spacing w:line="276" w:lineRule="auto"/>
        <w:textAlignment w:val="auto"/>
      </w:pPr>
      <w:r w:rsidRPr="004E57C1">
        <w:t>Geen materiële geschiedenis, tenzij…</w:t>
      </w:r>
    </w:p>
    <w:p w14:paraId="1F39A99F" w14:textId="77777777" w:rsidR="00C33ABA" w:rsidRPr="004E57C1" w:rsidRDefault="00C33ABA" w:rsidP="006D748D">
      <w:pPr>
        <w:pStyle w:val="Lijstalinea"/>
        <w:numPr>
          <w:ilvl w:val="1"/>
          <w:numId w:val="29"/>
        </w:numPr>
        <w:autoSpaceDN/>
        <w:spacing w:line="276" w:lineRule="auto"/>
        <w:textAlignment w:val="auto"/>
      </w:pPr>
      <w:r w:rsidRPr="004E57C1">
        <w:t>Geen verwijzingen naar andere registraties, tenzij…</w:t>
      </w:r>
    </w:p>
    <w:p w14:paraId="022D0AD0" w14:textId="77777777" w:rsidR="00C33ABA" w:rsidRPr="004E57C1" w:rsidRDefault="00C33ABA" w:rsidP="006D748D">
      <w:pPr>
        <w:pStyle w:val="Lijstalinea"/>
        <w:numPr>
          <w:ilvl w:val="0"/>
          <w:numId w:val="29"/>
        </w:numPr>
        <w:autoSpaceDN/>
        <w:spacing w:line="276" w:lineRule="auto"/>
        <w:textAlignment w:val="auto"/>
      </w:pPr>
      <w:r w:rsidRPr="004E57C1">
        <w:t xml:space="preserve">Niet langer aan een registratieobject werken dan nodig is om #4 te bereiken. </w:t>
      </w:r>
    </w:p>
    <w:p w14:paraId="15047D12" w14:textId="77777777" w:rsidR="00C33ABA" w:rsidRPr="004E57C1" w:rsidRDefault="00C33ABA" w:rsidP="006D748D">
      <w:pPr>
        <w:pStyle w:val="Lijstalinea"/>
        <w:numPr>
          <w:ilvl w:val="0"/>
          <w:numId w:val="29"/>
        </w:numPr>
        <w:autoSpaceDN/>
        <w:spacing w:line="276" w:lineRule="auto"/>
        <w:textAlignment w:val="auto"/>
      </w:pPr>
      <w:r w:rsidRPr="004E57C1">
        <w:t xml:space="preserve">Niet langer werken aan een registratieobject dan de overeengekomen timebox. </w:t>
      </w:r>
    </w:p>
    <w:p w14:paraId="683ED529" w14:textId="77777777" w:rsidR="00C33ABA" w:rsidRPr="004E57C1" w:rsidRDefault="00C33ABA" w:rsidP="006D748D">
      <w:pPr>
        <w:pStyle w:val="Lijstalinea"/>
        <w:numPr>
          <w:ilvl w:val="0"/>
          <w:numId w:val="29"/>
        </w:numPr>
        <w:autoSpaceDN/>
        <w:spacing w:line="276" w:lineRule="auto"/>
        <w:textAlignment w:val="auto"/>
      </w:pPr>
      <w:r w:rsidRPr="004E57C1">
        <w:t xml:space="preserve">Wanneer verwacht wordt dat het beoogde resultaat niet binnen de timebox kan worden gerealiseerd, </w:t>
      </w:r>
      <w:r>
        <w:t xml:space="preserve">dan </w:t>
      </w:r>
      <w:r w:rsidRPr="004E57C1">
        <w:t xml:space="preserve">wordt de (her)prioritering </w:t>
      </w:r>
      <w:r>
        <w:t xml:space="preserve">op tijd </w:t>
      </w:r>
      <w:r w:rsidRPr="004E57C1">
        <w:t>bepaald met de opdrachtgever.</w:t>
      </w:r>
    </w:p>
    <w:p w14:paraId="4D846A86" w14:textId="77777777" w:rsidR="00C33ABA" w:rsidRPr="004E57C1" w:rsidRDefault="00C33ABA" w:rsidP="00C33ABA"/>
    <w:p w14:paraId="16889E2F" w14:textId="77777777" w:rsidR="00C33ABA" w:rsidRPr="00036E7B" w:rsidRDefault="00C33ABA" w:rsidP="00383D29">
      <w:pPr>
        <w:spacing w:line="276" w:lineRule="auto"/>
      </w:pPr>
    </w:p>
    <w:p w14:paraId="3086E42D" w14:textId="77777777" w:rsidR="00036E7B" w:rsidRPr="00363276" w:rsidRDefault="00036E7B" w:rsidP="00383D29">
      <w:pPr>
        <w:spacing w:line="276" w:lineRule="auto"/>
      </w:pPr>
    </w:p>
    <w:p w14:paraId="41EC540F" w14:textId="1071D9B0" w:rsidR="00675F2C" w:rsidRDefault="00675F2C">
      <w:pPr>
        <w:spacing w:line="240" w:lineRule="auto"/>
      </w:pPr>
      <w:r>
        <w:br w:type="page"/>
      </w:r>
    </w:p>
    <w:p w14:paraId="6E839F19" w14:textId="0DB3F6B8" w:rsidR="00675F2C" w:rsidRDefault="00675F2C" w:rsidP="003A04F7">
      <w:pPr>
        <w:pStyle w:val="Kop1"/>
      </w:pPr>
      <w:bookmarkStart w:id="23" w:name="_Bijlage_2:_Werkwijze"/>
      <w:bookmarkStart w:id="24" w:name="_Toc39233687"/>
      <w:bookmarkEnd w:id="23"/>
      <w:r w:rsidRPr="005749F9">
        <w:lastRenderedPageBreak/>
        <w:t>Bijlage</w:t>
      </w:r>
      <w:r>
        <w:t xml:space="preserve"> 2</w:t>
      </w:r>
      <w:r w:rsidRPr="005749F9">
        <w:t xml:space="preserve">: </w:t>
      </w:r>
      <w:r>
        <w:t>W</w:t>
      </w:r>
      <w:r w:rsidRPr="005749F9">
        <w:t>erkwijze beheer scopedocumenten</w:t>
      </w:r>
      <w:bookmarkEnd w:id="24"/>
    </w:p>
    <w:p w14:paraId="4A7B765F" w14:textId="46024CEA" w:rsidR="00675F2C" w:rsidRDefault="00675F2C" w:rsidP="006D748D">
      <w:pPr>
        <w:pStyle w:val="Lijstalinea"/>
        <w:numPr>
          <w:ilvl w:val="0"/>
          <w:numId w:val="32"/>
        </w:numPr>
        <w:autoSpaceDN/>
        <w:spacing w:after="200" w:line="276" w:lineRule="auto"/>
        <w:textAlignment w:val="auto"/>
      </w:pPr>
      <w:r w:rsidRPr="00487FAF">
        <w:t xml:space="preserve">Sinds 2018 stelt het </w:t>
      </w:r>
      <w:r>
        <w:t xml:space="preserve">team </w:t>
      </w:r>
      <w:r w:rsidRPr="00487FAF">
        <w:t xml:space="preserve">standaardisatie voor ieder registratieobject/deelverzameling </w:t>
      </w:r>
      <w:r>
        <w:t>aan</w:t>
      </w:r>
      <w:r w:rsidRPr="00487FAF">
        <w:t xml:space="preserve"> </w:t>
      </w:r>
      <w:r>
        <w:t>het begin</w:t>
      </w:r>
      <w:r w:rsidRPr="00487FAF">
        <w:t xml:space="preserve"> van het ontwikkeltraject een scopedocument op. </w:t>
      </w:r>
    </w:p>
    <w:p w14:paraId="614D92D5" w14:textId="77777777" w:rsidR="00675F2C" w:rsidRPr="00487FAF" w:rsidRDefault="00675F2C" w:rsidP="00675F2C">
      <w:pPr>
        <w:pStyle w:val="Lijstalinea"/>
        <w:autoSpaceDN/>
        <w:spacing w:after="200" w:line="276" w:lineRule="auto"/>
        <w:textAlignment w:val="auto"/>
      </w:pPr>
    </w:p>
    <w:p w14:paraId="7D78F0C0" w14:textId="7806EFCF" w:rsidR="00675F2C" w:rsidRDefault="00675F2C" w:rsidP="006D748D">
      <w:pPr>
        <w:pStyle w:val="Lijstalinea"/>
        <w:numPr>
          <w:ilvl w:val="0"/>
          <w:numId w:val="32"/>
        </w:numPr>
        <w:autoSpaceDN/>
        <w:spacing w:after="200" w:line="276" w:lineRule="auto"/>
        <w:textAlignment w:val="auto"/>
      </w:pPr>
      <w:r w:rsidRPr="00487FAF">
        <w:t xml:space="preserve">Versie 0.9x van het scopedocument wordt vastgesteld in de programmastuurgroep (PSG) op advies van de domeinbegeleidingsgroep (DBG) en op advies van de programmabegeleidingsgroep (PBG). </w:t>
      </w:r>
    </w:p>
    <w:p w14:paraId="3D2AD0C2" w14:textId="77777777" w:rsidR="00675F2C" w:rsidRDefault="00675F2C" w:rsidP="00675F2C">
      <w:pPr>
        <w:pStyle w:val="Lijstalinea"/>
        <w:autoSpaceDN/>
        <w:spacing w:after="200" w:line="276" w:lineRule="auto"/>
        <w:textAlignment w:val="auto"/>
      </w:pPr>
    </w:p>
    <w:p w14:paraId="23B8F894" w14:textId="2E97865B" w:rsidR="00675F2C" w:rsidRDefault="00675F2C" w:rsidP="006D748D">
      <w:pPr>
        <w:pStyle w:val="Lijstalinea"/>
        <w:numPr>
          <w:ilvl w:val="0"/>
          <w:numId w:val="32"/>
        </w:numPr>
        <w:autoSpaceDN/>
        <w:spacing w:after="200" w:line="276" w:lineRule="auto"/>
        <w:textAlignment w:val="auto"/>
      </w:pPr>
      <w:r w:rsidRPr="00487FAF">
        <w:t xml:space="preserve">Na vaststelling door de PSG krijgt het scopedocument versienummer 1.0. </w:t>
      </w:r>
    </w:p>
    <w:p w14:paraId="060A2FC6" w14:textId="77777777" w:rsidR="00675F2C" w:rsidRPr="00487FAF" w:rsidRDefault="00675F2C" w:rsidP="00675F2C">
      <w:pPr>
        <w:pStyle w:val="Lijstalinea"/>
        <w:autoSpaceDN/>
        <w:spacing w:after="200" w:line="276" w:lineRule="auto"/>
        <w:textAlignment w:val="auto"/>
      </w:pPr>
    </w:p>
    <w:p w14:paraId="0A24FEF1" w14:textId="4FD762D2" w:rsidR="00675F2C" w:rsidRDefault="00675F2C" w:rsidP="006D748D">
      <w:pPr>
        <w:pStyle w:val="Lijstalinea"/>
        <w:numPr>
          <w:ilvl w:val="0"/>
          <w:numId w:val="32"/>
        </w:numPr>
        <w:autoSpaceDN/>
        <w:spacing w:after="200" w:line="276" w:lineRule="auto"/>
        <w:textAlignment w:val="auto"/>
      </w:pPr>
      <w:r>
        <w:t>H</w:t>
      </w:r>
      <w:r w:rsidRPr="00487FAF">
        <w:t xml:space="preserve">et programmabureau </w:t>
      </w:r>
      <w:r>
        <w:t xml:space="preserve">BRO </w:t>
      </w:r>
      <w:r w:rsidRPr="00487FAF">
        <w:t xml:space="preserve">publiceert </w:t>
      </w:r>
      <w:r>
        <w:t>v</w:t>
      </w:r>
      <w:r w:rsidRPr="00487FAF">
        <w:t xml:space="preserve">ersie 1.0 op de BRO-website. </w:t>
      </w:r>
    </w:p>
    <w:p w14:paraId="14F6EC5B" w14:textId="77777777" w:rsidR="00675F2C" w:rsidRPr="00487FAF" w:rsidRDefault="00675F2C" w:rsidP="00675F2C">
      <w:pPr>
        <w:pStyle w:val="Lijstalinea"/>
        <w:autoSpaceDN/>
        <w:spacing w:after="200" w:line="276" w:lineRule="auto"/>
        <w:textAlignment w:val="auto"/>
      </w:pPr>
    </w:p>
    <w:p w14:paraId="4855075E" w14:textId="5FD61F45" w:rsidR="00675F2C" w:rsidRDefault="00675F2C" w:rsidP="006D748D">
      <w:pPr>
        <w:pStyle w:val="Lijstalinea"/>
        <w:numPr>
          <w:ilvl w:val="0"/>
          <w:numId w:val="32"/>
        </w:numPr>
        <w:autoSpaceDN/>
        <w:spacing w:after="200" w:line="276" w:lineRule="auto"/>
        <w:textAlignment w:val="auto"/>
      </w:pPr>
      <w:r w:rsidRPr="00487FAF">
        <w:t xml:space="preserve">Het team standaardisatie houdt de wijzingen bij in een werkversie. De wijzigingen volgen onder meer uit nieuwe inzichten en de voortgang van de ontwikkelwerkzaamheden. </w:t>
      </w:r>
      <w:r>
        <w:t>Het</w:t>
      </w:r>
      <w:r w:rsidRPr="00487FAF">
        <w:t xml:space="preserve"> wijzigingenblad in het scopedocument </w:t>
      </w:r>
      <w:r>
        <w:t>laat zien</w:t>
      </w:r>
      <w:r w:rsidRPr="00487FAF">
        <w:t xml:space="preserve"> wat de aanpassingen zijn. De werkversie </w:t>
      </w:r>
      <w:r>
        <w:t>‘</w:t>
      </w:r>
      <w:r w:rsidRPr="00487FAF">
        <w:t>1.x</w:t>
      </w:r>
      <w:r>
        <w:t>’</w:t>
      </w:r>
      <w:r w:rsidRPr="00487FAF">
        <w:t xml:space="preserve"> van het scopedocument is beschikbaar via </w:t>
      </w:r>
      <w:r>
        <w:t>G</w:t>
      </w:r>
      <w:r w:rsidRPr="00487FAF">
        <w:t>it</w:t>
      </w:r>
      <w:r>
        <w:t>H</w:t>
      </w:r>
      <w:r w:rsidRPr="00487FAF">
        <w:t xml:space="preserve">ub. </w:t>
      </w:r>
    </w:p>
    <w:p w14:paraId="347A8D75" w14:textId="77777777" w:rsidR="00675F2C" w:rsidRPr="00487FAF" w:rsidRDefault="00675F2C" w:rsidP="00675F2C">
      <w:pPr>
        <w:pStyle w:val="Lijstalinea"/>
        <w:autoSpaceDN/>
        <w:spacing w:after="200" w:line="276" w:lineRule="auto"/>
        <w:textAlignment w:val="auto"/>
      </w:pPr>
    </w:p>
    <w:p w14:paraId="01087440" w14:textId="1F94404F" w:rsidR="00675F2C" w:rsidRDefault="00675F2C" w:rsidP="006D748D">
      <w:pPr>
        <w:pStyle w:val="Lijstalinea"/>
        <w:numPr>
          <w:ilvl w:val="0"/>
          <w:numId w:val="32"/>
        </w:numPr>
        <w:autoSpaceDN/>
        <w:spacing w:after="200" w:line="276" w:lineRule="auto"/>
        <w:textAlignment w:val="auto"/>
      </w:pPr>
      <w:r w:rsidRPr="00487FAF">
        <w:t>Wanneer voldoende wijzigingen zijn opgenomen en het belangrijk is dat een actualisatie van het scopedocument beschikbaar komt via de BRO-website</w:t>
      </w:r>
      <w:r>
        <w:t>,</w:t>
      </w:r>
      <w:r w:rsidRPr="00487FAF">
        <w:t xml:space="preserve"> wordt de bijgewerkte versie ter informatie</w:t>
      </w:r>
      <w:r w:rsidR="00D60838">
        <w:t xml:space="preserve">, </w:t>
      </w:r>
      <w:r w:rsidRPr="00487FAF">
        <w:t xml:space="preserve">ter advies </w:t>
      </w:r>
      <w:r w:rsidR="00D60838">
        <w:t>of</w:t>
      </w:r>
      <w:r w:rsidRPr="00487FAF">
        <w:t xml:space="preserve"> ter vaststelling (afhankelijk van de aard van de wijzigingen)</w:t>
      </w:r>
      <w:r w:rsidR="00D60838">
        <w:t xml:space="preserve"> </w:t>
      </w:r>
      <w:r w:rsidR="00D60838" w:rsidRPr="00487FAF">
        <w:t>besproken in de domeinbegeleidingsgroep (DBG)</w:t>
      </w:r>
      <w:r w:rsidRPr="00487FAF">
        <w:t xml:space="preserve">. </w:t>
      </w:r>
    </w:p>
    <w:p w14:paraId="576EE2BF" w14:textId="77777777" w:rsidR="00675F2C" w:rsidRPr="00487FAF" w:rsidRDefault="00675F2C" w:rsidP="00675F2C">
      <w:pPr>
        <w:pStyle w:val="Lijstalinea"/>
        <w:autoSpaceDN/>
        <w:spacing w:after="200" w:line="276" w:lineRule="auto"/>
        <w:textAlignment w:val="auto"/>
      </w:pPr>
    </w:p>
    <w:p w14:paraId="3C605939" w14:textId="53FD9446" w:rsidR="00675F2C" w:rsidRDefault="00675F2C" w:rsidP="006D748D">
      <w:pPr>
        <w:pStyle w:val="Lijstalinea"/>
        <w:numPr>
          <w:ilvl w:val="0"/>
          <w:numId w:val="32"/>
        </w:numPr>
        <w:autoSpaceDN/>
        <w:spacing w:after="200" w:line="276" w:lineRule="auto"/>
        <w:textAlignment w:val="auto"/>
      </w:pPr>
      <w:r w:rsidRPr="00487FAF">
        <w:t xml:space="preserve">De DBG kan beslissen het scopedocument met een advies en vaststelling voor te leggen voorleggen aan de programmabegeleidingsgroep (PBG) en de PSG. </w:t>
      </w:r>
    </w:p>
    <w:p w14:paraId="422E27EF" w14:textId="77777777" w:rsidR="00675F2C" w:rsidRPr="00487FAF" w:rsidRDefault="00675F2C" w:rsidP="00675F2C">
      <w:pPr>
        <w:pStyle w:val="Lijstalinea"/>
        <w:autoSpaceDN/>
        <w:spacing w:after="200" w:line="276" w:lineRule="auto"/>
        <w:textAlignment w:val="auto"/>
      </w:pPr>
    </w:p>
    <w:p w14:paraId="574BAC5C" w14:textId="7FBEC1E1" w:rsidR="00675F2C" w:rsidRDefault="00675F2C" w:rsidP="006D748D">
      <w:pPr>
        <w:pStyle w:val="Lijstalinea"/>
        <w:numPr>
          <w:ilvl w:val="0"/>
          <w:numId w:val="32"/>
        </w:numPr>
        <w:autoSpaceDN/>
        <w:spacing w:after="200" w:line="276" w:lineRule="auto"/>
        <w:textAlignment w:val="auto"/>
      </w:pPr>
      <w:r w:rsidRPr="00487FAF">
        <w:t>Na vaststelling van het scopedocument publiceert het programmabureau de nieuwe versie op de BRO-website.</w:t>
      </w:r>
    </w:p>
    <w:p w14:paraId="5420CE92" w14:textId="77777777" w:rsidR="00675F2C" w:rsidRPr="00487FAF" w:rsidRDefault="00675F2C" w:rsidP="00675F2C">
      <w:pPr>
        <w:pStyle w:val="Lijstalinea"/>
        <w:autoSpaceDN/>
        <w:spacing w:after="200" w:line="276" w:lineRule="auto"/>
        <w:textAlignment w:val="auto"/>
      </w:pPr>
    </w:p>
    <w:p w14:paraId="18454222" w14:textId="77777777" w:rsidR="00675F2C" w:rsidRDefault="00675F2C" w:rsidP="006D748D">
      <w:pPr>
        <w:pStyle w:val="Lijstalinea"/>
        <w:numPr>
          <w:ilvl w:val="0"/>
          <w:numId w:val="32"/>
        </w:numPr>
        <w:autoSpaceDN/>
        <w:spacing w:after="200" w:line="276" w:lineRule="auto"/>
        <w:textAlignment w:val="auto"/>
      </w:pPr>
      <w:r w:rsidRPr="00487FAF">
        <w:t xml:space="preserve">Bij het opleveren van een gegevenscatalogus 0.99 aan de PSG (ter vaststelling) levert het team standaardisatie een consistent bijgewerkt scopedocument mee. </w:t>
      </w:r>
    </w:p>
    <w:p w14:paraId="0D2023C3" w14:textId="09A19E5E" w:rsidR="00675F2C" w:rsidRPr="00487FAF" w:rsidRDefault="00675F2C" w:rsidP="00675F2C">
      <w:pPr>
        <w:pStyle w:val="Lijstalinea"/>
        <w:autoSpaceDN/>
        <w:spacing w:after="200" w:line="276" w:lineRule="auto"/>
        <w:textAlignment w:val="auto"/>
      </w:pPr>
      <w:r w:rsidRPr="00487FAF">
        <w:t xml:space="preserve"> </w:t>
      </w:r>
    </w:p>
    <w:p w14:paraId="25089741" w14:textId="77777777" w:rsidR="00675F2C" w:rsidRPr="00487FAF" w:rsidRDefault="00675F2C" w:rsidP="006D748D">
      <w:pPr>
        <w:pStyle w:val="Lijstalinea"/>
        <w:numPr>
          <w:ilvl w:val="0"/>
          <w:numId w:val="32"/>
        </w:numPr>
        <w:autoSpaceDN/>
        <w:spacing w:after="200" w:line="276" w:lineRule="auto"/>
        <w:textAlignment w:val="auto"/>
      </w:pPr>
      <w:r w:rsidRPr="00487FAF">
        <w:t>Na vaststelling van de catalogus door de PSG wordt het scopedocument niet meer bijgewerkt, tenzij in de tranche erna nog een aanvulling op de catalogus van het registratieobject volgt. </w:t>
      </w:r>
    </w:p>
    <w:p w14:paraId="7AB8EEA1" w14:textId="750837E5" w:rsidR="00736314" w:rsidRDefault="00736314">
      <w:pPr>
        <w:spacing w:line="240" w:lineRule="auto"/>
      </w:pPr>
      <w:r>
        <w:br w:type="page"/>
      </w:r>
    </w:p>
    <w:p w14:paraId="57553624" w14:textId="7D323BF3" w:rsidR="00533CA2" w:rsidRDefault="00736314" w:rsidP="00736314">
      <w:pPr>
        <w:pStyle w:val="Kop1"/>
      </w:pPr>
      <w:bookmarkStart w:id="25" w:name="_Bijla_ge_3:"/>
      <w:bookmarkStart w:id="26" w:name="_Toc39233688"/>
      <w:bookmarkEnd w:id="25"/>
      <w:r>
        <w:lastRenderedPageBreak/>
        <w:t>Bijlage 3: Keuzeleidraad INSPIRE</w:t>
      </w:r>
      <w:bookmarkEnd w:id="26"/>
    </w:p>
    <w:tbl>
      <w:tblPr>
        <w:tblW w:w="8508" w:type="dxa"/>
        <w:tblLayout w:type="fixed"/>
        <w:tblCellMar>
          <w:left w:w="0" w:type="dxa"/>
          <w:right w:w="0" w:type="dxa"/>
        </w:tblCellMar>
        <w:tblLook w:val="0420" w:firstRow="1" w:lastRow="0" w:firstColumn="0" w:lastColumn="0" w:noHBand="0" w:noVBand="1"/>
      </w:tblPr>
      <w:tblGrid>
        <w:gridCol w:w="4683"/>
        <w:gridCol w:w="1698"/>
        <w:gridCol w:w="2127"/>
      </w:tblGrid>
      <w:tr w:rsidR="00736314" w:rsidRPr="00CE7F81" w14:paraId="12AA9AD0" w14:textId="77777777" w:rsidTr="00736314">
        <w:trPr>
          <w:trHeight w:val="1038"/>
        </w:trPr>
        <w:tc>
          <w:tcPr>
            <w:tcW w:w="4683"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72256FB7" w14:textId="77777777" w:rsidR="00736314" w:rsidRPr="00CE7F81" w:rsidRDefault="00736314" w:rsidP="00C5408C">
            <w:pPr>
              <w:rPr>
                <w:sz w:val="16"/>
                <w:szCs w:val="16"/>
              </w:rPr>
            </w:pPr>
            <w:r w:rsidRPr="00CE7F81">
              <w:rPr>
                <w:b/>
                <w:bCs/>
                <w:sz w:val="16"/>
                <w:szCs w:val="16"/>
              </w:rPr>
              <w:t>Criterium per registratieobject (RO): urgentie van de INSPIRE</w:t>
            </w:r>
            <w:r w:rsidRPr="00A42EA8">
              <w:rPr>
                <w:b/>
                <w:bCs/>
                <w:sz w:val="16"/>
                <w:szCs w:val="16"/>
              </w:rPr>
              <w:t>-</w:t>
            </w:r>
            <w:r w:rsidRPr="00CE7F81">
              <w:rPr>
                <w:b/>
                <w:bCs/>
                <w:sz w:val="16"/>
                <w:szCs w:val="16"/>
              </w:rPr>
              <w:t>compliance van het registratieobject</w:t>
            </w:r>
          </w:p>
        </w:tc>
        <w:tc>
          <w:tcPr>
            <w:tcW w:w="1698"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213BB6EB" w14:textId="77777777" w:rsidR="00736314" w:rsidRPr="00CE7F81" w:rsidRDefault="00736314" w:rsidP="00C5408C">
            <w:pPr>
              <w:rPr>
                <w:sz w:val="16"/>
                <w:szCs w:val="16"/>
              </w:rPr>
            </w:pPr>
            <w:r w:rsidRPr="00CE7F81">
              <w:rPr>
                <w:b/>
                <w:bCs/>
                <w:sz w:val="16"/>
                <w:szCs w:val="16"/>
              </w:rPr>
              <w:t>Wel/niet nodig, wanneer</w:t>
            </w:r>
          </w:p>
        </w:tc>
        <w:tc>
          <w:tcPr>
            <w:tcW w:w="2127"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0AE51D88" w14:textId="656C9FB3" w:rsidR="00736314" w:rsidRPr="00CE7F81" w:rsidRDefault="00736314" w:rsidP="00C5408C">
            <w:pPr>
              <w:rPr>
                <w:sz w:val="16"/>
                <w:szCs w:val="16"/>
              </w:rPr>
            </w:pPr>
            <w:r w:rsidRPr="00CE7F81">
              <w:rPr>
                <w:b/>
                <w:bCs/>
                <w:sz w:val="16"/>
                <w:szCs w:val="16"/>
              </w:rPr>
              <w:t>G</w:t>
            </w:r>
          </w:p>
        </w:tc>
      </w:tr>
      <w:tr w:rsidR="00736314" w:rsidRPr="00F33BBC" w14:paraId="50A2A414" w14:textId="77777777" w:rsidTr="009A6E22">
        <w:trPr>
          <w:trHeight w:val="550"/>
        </w:trPr>
        <w:tc>
          <w:tcPr>
            <w:tcW w:w="4683"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3601DE14" w14:textId="77777777" w:rsidR="00736314" w:rsidRPr="00CE7F81" w:rsidRDefault="00736314" w:rsidP="00C5408C">
            <w:pPr>
              <w:rPr>
                <w:sz w:val="16"/>
                <w:szCs w:val="16"/>
              </w:rPr>
            </w:pPr>
            <w:r w:rsidRPr="00CE7F81">
              <w:rPr>
                <w:sz w:val="16"/>
                <w:szCs w:val="16"/>
              </w:rPr>
              <w:t>Is het RO INSPIRE</w:t>
            </w:r>
            <w:r w:rsidRPr="00A42EA8">
              <w:rPr>
                <w:sz w:val="16"/>
                <w:szCs w:val="16"/>
              </w:rPr>
              <w:t>-</w:t>
            </w:r>
            <w:r w:rsidRPr="00CE7F81">
              <w:rPr>
                <w:sz w:val="16"/>
                <w:szCs w:val="16"/>
              </w:rPr>
              <w:t xml:space="preserve">plichtig? Zo ja, voor welke thema’s? Uitgangspunt: actuele planning van RO’s en tranches op het moment van toepassing van de leidraad. </w:t>
            </w:r>
          </w:p>
        </w:tc>
        <w:tc>
          <w:tcPr>
            <w:tcW w:w="1698"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00B167CE" w14:textId="77777777" w:rsidR="00736314" w:rsidRPr="00CE7F81" w:rsidRDefault="00736314" w:rsidP="00C5408C">
            <w:pPr>
              <w:rPr>
                <w:sz w:val="16"/>
                <w:szCs w:val="16"/>
              </w:rPr>
            </w:pPr>
            <w:r w:rsidRPr="00CE7F81">
              <w:rPr>
                <w:sz w:val="16"/>
                <w:szCs w:val="16"/>
              </w:rPr>
              <w:t>Ja (2017 of 2020) + opsomming thema’s/nee</w:t>
            </w:r>
          </w:p>
        </w:tc>
        <w:tc>
          <w:tcPr>
            <w:tcW w:w="2127"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tcPr>
          <w:p w14:paraId="30E808B4" w14:textId="13377E41" w:rsidR="00736314" w:rsidRPr="00CE7F81" w:rsidRDefault="00736314" w:rsidP="00C5408C">
            <w:pPr>
              <w:rPr>
                <w:sz w:val="16"/>
                <w:szCs w:val="16"/>
                <w:lang w:val="en-US"/>
              </w:rPr>
            </w:pPr>
          </w:p>
        </w:tc>
      </w:tr>
      <w:tr w:rsidR="00736314" w:rsidRPr="00CE7F81" w14:paraId="41430D62" w14:textId="77777777" w:rsidTr="009A6E22">
        <w:trPr>
          <w:trHeight w:val="550"/>
        </w:trPr>
        <w:tc>
          <w:tcPr>
            <w:tcW w:w="4683"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0A7D6B92" w14:textId="77777777" w:rsidR="00736314" w:rsidRPr="00CE7F81" w:rsidRDefault="00736314" w:rsidP="00C5408C">
            <w:pPr>
              <w:rPr>
                <w:sz w:val="16"/>
                <w:szCs w:val="16"/>
              </w:rPr>
            </w:pPr>
            <w:r w:rsidRPr="00CE7F81">
              <w:rPr>
                <w:sz w:val="16"/>
                <w:szCs w:val="16"/>
              </w:rPr>
              <w:t>Is het RO een EU</w:t>
            </w:r>
            <w:r w:rsidRPr="00A42EA8">
              <w:rPr>
                <w:sz w:val="16"/>
                <w:szCs w:val="16"/>
              </w:rPr>
              <w:t>-</w:t>
            </w:r>
            <w:r w:rsidRPr="00CE7F81">
              <w:rPr>
                <w:sz w:val="16"/>
                <w:szCs w:val="16"/>
              </w:rPr>
              <w:t>prioriteit? Zo ja, wanneer dan? Waaruit blijkt dat? (context, criterium voor planning)</w:t>
            </w:r>
          </w:p>
          <w:p w14:paraId="0894892C" w14:textId="202FA352" w:rsidR="00736314" w:rsidRPr="00CE7F81" w:rsidRDefault="00736314" w:rsidP="00C5408C">
            <w:pPr>
              <w:rPr>
                <w:sz w:val="16"/>
                <w:szCs w:val="16"/>
              </w:rPr>
            </w:pPr>
            <w:r w:rsidRPr="00CE7F81">
              <w:rPr>
                <w:sz w:val="16"/>
                <w:szCs w:val="16"/>
              </w:rPr>
              <w:t>1. rapportageverplichting KRW e.a. (welke rapportage)</w:t>
            </w:r>
          </w:p>
          <w:p w14:paraId="455F1B40" w14:textId="38E454E3" w:rsidR="00736314" w:rsidRPr="00CE7F81" w:rsidRDefault="00736314" w:rsidP="00C5408C">
            <w:pPr>
              <w:rPr>
                <w:sz w:val="16"/>
                <w:szCs w:val="16"/>
              </w:rPr>
            </w:pPr>
            <w:r w:rsidRPr="00CE7F81">
              <w:rPr>
                <w:sz w:val="16"/>
                <w:szCs w:val="16"/>
              </w:rPr>
              <w:t>2. het RO is een prioriteit vanwege een specifiek EU</w:t>
            </w:r>
            <w:r w:rsidR="004B3D53">
              <w:rPr>
                <w:sz w:val="16"/>
                <w:szCs w:val="16"/>
              </w:rPr>
              <w:t>-</w:t>
            </w:r>
            <w:r w:rsidRPr="00CE7F81">
              <w:rPr>
                <w:sz w:val="16"/>
                <w:szCs w:val="16"/>
              </w:rPr>
              <w:t>project (welk project?)</w:t>
            </w:r>
          </w:p>
          <w:p w14:paraId="6CA53DEA" w14:textId="77777777" w:rsidR="00736314" w:rsidRPr="00CE7F81" w:rsidRDefault="00736314" w:rsidP="00C5408C">
            <w:pPr>
              <w:rPr>
                <w:sz w:val="16"/>
                <w:szCs w:val="16"/>
              </w:rPr>
            </w:pPr>
            <w:r w:rsidRPr="00CE7F81">
              <w:rPr>
                <w:sz w:val="16"/>
                <w:szCs w:val="16"/>
              </w:rPr>
              <w:t xml:space="preserve">3. het RO staat op de prioritaire datasetlijst van INSPIRE. </w:t>
            </w:r>
          </w:p>
        </w:tc>
        <w:tc>
          <w:tcPr>
            <w:tcW w:w="1698"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1A4527C8" w14:textId="77777777" w:rsidR="00736314" w:rsidRPr="00CE7F81" w:rsidRDefault="00736314" w:rsidP="00C5408C">
            <w:pPr>
              <w:rPr>
                <w:sz w:val="16"/>
                <w:szCs w:val="16"/>
              </w:rPr>
            </w:pPr>
            <w:r w:rsidRPr="00CE7F81">
              <w:rPr>
                <w:sz w:val="16"/>
                <w:szCs w:val="16"/>
              </w:rPr>
              <w:t>Ja/nee</w:t>
            </w:r>
          </w:p>
          <w:p w14:paraId="6A13DB2D" w14:textId="77777777" w:rsidR="00736314" w:rsidRPr="00CE7F81" w:rsidRDefault="00736314" w:rsidP="00C5408C">
            <w:pPr>
              <w:rPr>
                <w:sz w:val="16"/>
                <w:szCs w:val="16"/>
              </w:rPr>
            </w:pPr>
            <w:r w:rsidRPr="00CE7F81">
              <w:rPr>
                <w:sz w:val="16"/>
                <w:szCs w:val="16"/>
              </w:rPr>
              <w:t>Beschrijving</w:t>
            </w:r>
          </w:p>
        </w:tc>
        <w:tc>
          <w:tcPr>
            <w:tcW w:w="2127"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tcPr>
          <w:p w14:paraId="03C1EA38" w14:textId="52F3507D" w:rsidR="00736314" w:rsidRPr="00CE7F81" w:rsidRDefault="00736314" w:rsidP="00C5408C">
            <w:pPr>
              <w:rPr>
                <w:sz w:val="16"/>
                <w:szCs w:val="16"/>
              </w:rPr>
            </w:pPr>
          </w:p>
        </w:tc>
      </w:tr>
      <w:tr w:rsidR="00736314" w:rsidRPr="00CE7F81" w14:paraId="7BE371B0" w14:textId="77777777" w:rsidTr="009A6E22">
        <w:trPr>
          <w:trHeight w:val="550"/>
        </w:trPr>
        <w:tc>
          <w:tcPr>
            <w:tcW w:w="4683"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4465346E" w14:textId="77777777" w:rsidR="00736314" w:rsidRPr="00CE7F81" w:rsidRDefault="00736314" w:rsidP="00C5408C">
            <w:pPr>
              <w:rPr>
                <w:sz w:val="16"/>
                <w:szCs w:val="16"/>
              </w:rPr>
            </w:pPr>
            <w:r w:rsidRPr="00CE7F81">
              <w:rPr>
                <w:sz w:val="16"/>
                <w:szCs w:val="16"/>
              </w:rPr>
              <w:t>Is er een risico op boete? (context)</w:t>
            </w:r>
          </w:p>
        </w:tc>
        <w:tc>
          <w:tcPr>
            <w:tcW w:w="1698"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799932E7" w14:textId="77777777" w:rsidR="00736314" w:rsidRPr="00CE7F81" w:rsidRDefault="00736314" w:rsidP="00C5408C">
            <w:pPr>
              <w:rPr>
                <w:sz w:val="16"/>
                <w:szCs w:val="16"/>
              </w:rPr>
            </w:pPr>
            <w:r w:rsidRPr="00CE7F81">
              <w:rPr>
                <w:sz w:val="16"/>
                <w:szCs w:val="16"/>
              </w:rPr>
              <w:t>Ja/nee</w:t>
            </w:r>
          </w:p>
          <w:p w14:paraId="0542CB0C" w14:textId="77777777" w:rsidR="00736314" w:rsidRPr="00CE7F81" w:rsidRDefault="00736314" w:rsidP="00C5408C">
            <w:pPr>
              <w:rPr>
                <w:sz w:val="16"/>
                <w:szCs w:val="16"/>
              </w:rPr>
            </w:pPr>
            <w:r w:rsidRPr="00CE7F81">
              <w:rPr>
                <w:sz w:val="16"/>
                <w:szCs w:val="16"/>
              </w:rPr>
              <w:t>Verhoogd, laag…</w:t>
            </w:r>
          </w:p>
        </w:tc>
        <w:tc>
          <w:tcPr>
            <w:tcW w:w="2127"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tcPr>
          <w:p w14:paraId="6E743A0A" w14:textId="5B63B32F" w:rsidR="00736314" w:rsidRPr="00CE7F81" w:rsidRDefault="00736314" w:rsidP="00C5408C">
            <w:pPr>
              <w:rPr>
                <w:sz w:val="16"/>
                <w:szCs w:val="16"/>
              </w:rPr>
            </w:pPr>
          </w:p>
        </w:tc>
      </w:tr>
      <w:tr w:rsidR="00736314" w:rsidRPr="00CE7F81" w14:paraId="60C70033" w14:textId="77777777" w:rsidTr="009A6E22">
        <w:trPr>
          <w:trHeight w:val="550"/>
        </w:trPr>
        <w:tc>
          <w:tcPr>
            <w:tcW w:w="4683"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5F8D680B" w14:textId="58AAE406" w:rsidR="00736314" w:rsidRPr="00CE7F81" w:rsidRDefault="00736314" w:rsidP="00C5408C">
            <w:pPr>
              <w:rPr>
                <w:sz w:val="16"/>
                <w:szCs w:val="16"/>
              </w:rPr>
            </w:pPr>
            <w:r w:rsidRPr="00CE7F81">
              <w:rPr>
                <w:sz w:val="16"/>
                <w:szCs w:val="16"/>
              </w:rPr>
              <w:t>Verwacht gebruik van de INSPIRE</w:t>
            </w:r>
            <w:r w:rsidR="004B3D53">
              <w:rPr>
                <w:sz w:val="16"/>
                <w:szCs w:val="16"/>
              </w:rPr>
              <w:t>-</w:t>
            </w:r>
            <w:r w:rsidRPr="00CE7F81">
              <w:rPr>
                <w:sz w:val="16"/>
                <w:szCs w:val="16"/>
              </w:rPr>
              <w:t>dataset - buiten Nederland (aantal partijen, aantal lidstaten, etc.) wie dan? Grensoverschrijdend, cross border problematiek (context, criterium voor planning)</w:t>
            </w:r>
          </w:p>
        </w:tc>
        <w:tc>
          <w:tcPr>
            <w:tcW w:w="1698"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4EDD589E" w14:textId="77777777" w:rsidR="00736314" w:rsidRPr="00CE7F81" w:rsidRDefault="00736314" w:rsidP="00C5408C">
            <w:pPr>
              <w:rPr>
                <w:sz w:val="16"/>
                <w:szCs w:val="16"/>
              </w:rPr>
            </w:pPr>
            <w:r w:rsidRPr="00CE7F81">
              <w:rPr>
                <w:sz w:val="16"/>
                <w:szCs w:val="16"/>
              </w:rPr>
              <w:t>Beschrijving</w:t>
            </w:r>
          </w:p>
        </w:tc>
        <w:tc>
          <w:tcPr>
            <w:tcW w:w="2127"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tcPr>
          <w:p w14:paraId="63E19967" w14:textId="1ADE01DF" w:rsidR="00736314" w:rsidRPr="00CE7F81" w:rsidRDefault="00736314" w:rsidP="00C5408C">
            <w:pPr>
              <w:rPr>
                <w:sz w:val="16"/>
                <w:szCs w:val="16"/>
              </w:rPr>
            </w:pPr>
          </w:p>
        </w:tc>
      </w:tr>
      <w:tr w:rsidR="00736314" w:rsidRPr="00CE7F81" w14:paraId="708094B9" w14:textId="77777777" w:rsidTr="009A6E22">
        <w:trPr>
          <w:trHeight w:val="550"/>
        </w:trPr>
        <w:tc>
          <w:tcPr>
            <w:tcW w:w="4683"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4D5F8110" w14:textId="77777777" w:rsidR="00736314" w:rsidRPr="00CE7F81" w:rsidRDefault="00736314" w:rsidP="00C5408C">
            <w:pPr>
              <w:rPr>
                <w:sz w:val="16"/>
                <w:szCs w:val="16"/>
              </w:rPr>
            </w:pPr>
            <w:r w:rsidRPr="00CE7F81">
              <w:rPr>
                <w:sz w:val="16"/>
                <w:szCs w:val="16"/>
              </w:rPr>
              <w:t>Is er een bestuurlijk risico/kans gegeven de keuze/planning voor implementatie maatschappelijk veld in NL, 2</w:t>
            </w:r>
            <w:r w:rsidRPr="00CE7F81">
              <w:rPr>
                <w:sz w:val="16"/>
                <w:szCs w:val="16"/>
                <w:vertAlign w:val="superscript"/>
              </w:rPr>
              <w:t>de</w:t>
            </w:r>
            <w:r w:rsidRPr="00CE7F81">
              <w:rPr>
                <w:sz w:val="16"/>
                <w:szCs w:val="16"/>
              </w:rPr>
              <w:t xml:space="preserve"> kamer, eigen departement, (context, criterium voor planning)</w:t>
            </w:r>
          </w:p>
        </w:tc>
        <w:tc>
          <w:tcPr>
            <w:tcW w:w="1698"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63E7292A" w14:textId="77777777" w:rsidR="00736314" w:rsidRPr="00CE7F81" w:rsidRDefault="00736314" w:rsidP="00C5408C">
            <w:pPr>
              <w:rPr>
                <w:sz w:val="16"/>
                <w:szCs w:val="16"/>
              </w:rPr>
            </w:pPr>
            <w:r w:rsidRPr="00CE7F81">
              <w:rPr>
                <w:sz w:val="16"/>
                <w:szCs w:val="16"/>
              </w:rPr>
              <w:t>Ja/nee</w:t>
            </w:r>
          </w:p>
          <w:p w14:paraId="36230EBE" w14:textId="77777777" w:rsidR="00736314" w:rsidRPr="00CE7F81" w:rsidRDefault="00736314" w:rsidP="00C5408C">
            <w:pPr>
              <w:rPr>
                <w:sz w:val="16"/>
                <w:szCs w:val="16"/>
              </w:rPr>
            </w:pPr>
            <w:r w:rsidRPr="00CE7F81">
              <w:rPr>
                <w:sz w:val="16"/>
                <w:szCs w:val="16"/>
              </w:rPr>
              <w:t>Beschrijving</w:t>
            </w:r>
          </w:p>
        </w:tc>
        <w:tc>
          <w:tcPr>
            <w:tcW w:w="2127"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tcPr>
          <w:p w14:paraId="79F96ABC" w14:textId="51FA7BC9" w:rsidR="00736314" w:rsidRPr="00CE7F81" w:rsidRDefault="00736314" w:rsidP="00C5408C">
            <w:pPr>
              <w:rPr>
                <w:sz w:val="16"/>
                <w:szCs w:val="16"/>
              </w:rPr>
            </w:pPr>
          </w:p>
        </w:tc>
      </w:tr>
    </w:tbl>
    <w:p w14:paraId="0FD662BD" w14:textId="7C6B1F60" w:rsidR="00736314" w:rsidRDefault="00736314" w:rsidP="00736314">
      <w:pPr>
        <w:rPr>
          <w:sz w:val="16"/>
          <w:szCs w:val="16"/>
        </w:rPr>
      </w:pPr>
    </w:p>
    <w:p w14:paraId="349FA0D5" w14:textId="77777777" w:rsidR="00736314" w:rsidRDefault="00736314">
      <w:pPr>
        <w:spacing w:line="240" w:lineRule="auto"/>
        <w:rPr>
          <w:sz w:val="16"/>
          <w:szCs w:val="16"/>
        </w:rPr>
      </w:pPr>
      <w:r>
        <w:rPr>
          <w:sz w:val="16"/>
          <w:szCs w:val="16"/>
        </w:rPr>
        <w:br w:type="page"/>
      </w:r>
    </w:p>
    <w:p w14:paraId="48EE637A" w14:textId="77777777" w:rsidR="00736314" w:rsidRPr="00A42EA8" w:rsidRDefault="00736314" w:rsidP="00736314">
      <w:pPr>
        <w:rPr>
          <w:sz w:val="16"/>
          <w:szCs w:val="16"/>
        </w:rPr>
      </w:pPr>
    </w:p>
    <w:tbl>
      <w:tblPr>
        <w:tblW w:w="8508" w:type="dxa"/>
        <w:tblCellMar>
          <w:left w:w="0" w:type="dxa"/>
          <w:right w:w="0" w:type="dxa"/>
        </w:tblCellMar>
        <w:tblLook w:val="0420" w:firstRow="1" w:lastRow="0" w:firstColumn="0" w:lastColumn="0" w:noHBand="0" w:noVBand="1"/>
      </w:tblPr>
      <w:tblGrid>
        <w:gridCol w:w="4412"/>
        <w:gridCol w:w="1612"/>
        <w:gridCol w:w="1612"/>
        <w:gridCol w:w="872"/>
      </w:tblGrid>
      <w:tr w:rsidR="00736314" w:rsidRPr="00A42EA8" w14:paraId="49D0F7E3" w14:textId="77777777" w:rsidTr="009A6E22">
        <w:trPr>
          <w:trHeight w:val="457"/>
        </w:trPr>
        <w:tc>
          <w:tcPr>
            <w:tcW w:w="4412"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2E96A4EF" w14:textId="77777777" w:rsidR="00736314" w:rsidRPr="00A42EA8" w:rsidRDefault="00736314" w:rsidP="00C5408C">
            <w:pPr>
              <w:rPr>
                <w:sz w:val="16"/>
                <w:szCs w:val="16"/>
              </w:rPr>
            </w:pPr>
            <w:r w:rsidRPr="00A42EA8">
              <w:rPr>
                <w:b/>
                <w:bCs/>
                <w:sz w:val="16"/>
                <w:szCs w:val="16"/>
              </w:rPr>
              <w:t>Criterium per registratieobject: voor keuze optie 1 of optie 2</w:t>
            </w:r>
          </w:p>
        </w:tc>
        <w:tc>
          <w:tcPr>
            <w:tcW w:w="1612"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6442281C" w14:textId="77777777" w:rsidR="00736314" w:rsidRPr="00A42EA8" w:rsidRDefault="00736314" w:rsidP="00C5408C">
            <w:pPr>
              <w:rPr>
                <w:sz w:val="16"/>
                <w:szCs w:val="16"/>
              </w:rPr>
            </w:pPr>
            <w:r w:rsidRPr="00A42EA8">
              <w:rPr>
                <w:b/>
                <w:bCs/>
                <w:sz w:val="16"/>
                <w:szCs w:val="16"/>
              </w:rPr>
              <w:t>Optie 1: mapping</w:t>
            </w:r>
          </w:p>
        </w:tc>
        <w:tc>
          <w:tcPr>
            <w:tcW w:w="1612"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5909985B" w14:textId="77777777" w:rsidR="00736314" w:rsidRPr="00A42EA8" w:rsidRDefault="00736314" w:rsidP="00C5408C">
            <w:pPr>
              <w:rPr>
                <w:sz w:val="16"/>
                <w:szCs w:val="16"/>
              </w:rPr>
            </w:pPr>
            <w:r w:rsidRPr="00A42EA8">
              <w:rPr>
                <w:b/>
                <w:bCs/>
                <w:sz w:val="16"/>
                <w:szCs w:val="16"/>
              </w:rPr>
              <w:t>Optie 2: in catalogus</w:t>
            </w:r>
          </w:p>
        </w:tc>
        <w:tc>
          <w:tcPr>
            <w:tcW w:w="872"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tcPr>
          <w:p w14:paraId="6026C142" w14:textId="116BBB91" w:rsidR="00736314" w:rsidRPr="00A42EA8" w:rsidRDefault="00736314" w:rsidP="00C5408C">
            <w:pPr>
              <w:rPr>
                <w:sz w:val="16"/>
                <w:szCs w:val="16"/>
              </w:rPr>
            </w:pPr>
          </w:p>
        </w:tc>
      </w:tr>
      <w:tr w:rsidR="00736314" w:rsidRPr="00A42EA8" w14:paraId="0AC7DD4A" w14:textId="77777777" w:rsidTr="009A6E22">
        <w:trPr>
          <w:trHeight w:val="868"/>
        </w:trPr>
        <w:tc>
          <w:tcPr>
            <w:tcW w:w="4412"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70C2A36B" w14:textId="61C7AA8D" w:rsidR="00736314" w:rsidRPr="00A42EA8" w:rsidRDefault="00736314" w:rsidP="00C5408C">
            <w:pPr>
              <w:rPr>
                <w:sz w:val="16"/>
                <w:szCs w:val="16"/>
              </w:rPr>
            </w:pPr>
            <w:r w:rsidRPr="00A42EA8">
              <w:rPr>
                <w:sz w:val="16"/>
                <w:szCs w:val="16"/>
              </w:rPr>
              <w:t xml:space="preserve">Hoe hoog is de veranderlijkheid van het </w:t>
            </w:r>
            <w:r w:rsidRPr="00A42EA8">
              <w:rPr>
                <w:sz w:val="16"/>
                <w:szCs w:val="16"/>
                <w:u w:val="single"/>
              </w:rPr>
              <w:t>datamodel</w:t>
            </w:r>
            <w:r w:rsidRPr="00A42EA8">
              <w:rPr>
                <w:sz w:val="16"/>
                <w:szCs w:val="16"/>
              </w:rPr>
              <w:t xml:space="preserve"> van het RO én van het INSPIRE</w:t>
            </w:r>
            <w:r w:rsidR="004B3D53">
              <w:rPr>
                <w:sz w:val="16"/>
                <w:szCs w:val="16"/>
              </w:rPr>
              <w:t>-</w:t>
            </w:r>
            <w:r w:rsidRPr="00A42EA8">
              <w:rPr>
                <w:sz w:val="16"/>
                <w:szCs w:val="16"/>
              </w:rPr>
              <w:t xml:space="preserve">thema, hetzij vanuit EU hetzij vanuit NL. </w:t>
            </w:r>
          </w:p>
          <w:p w14:paraId="7604258C" w14:textId="77777777" w:rsidR="00736314" w:rsidRPr="00A42EA8" w:rsidRDefault="00736314" w:rsidP="00C5408C">
            <w:pPr>
              <w:rPr>
                <w:sz w:val="16"/>
                <w:szCs w:val="16"/>
              </w:rPr>
            </w:pPr>
            <w:r w:rsidRPr="00A42EA8">
              <w:rPr>
                <w:sz w:val="16"/>
                <w:szCs w:val="16"/>
              </w:rPr>
              <w:t xml:space="preserve">Norm: 1x pj = hoog. Vanaf 1x p3jr = midden. Vanaf 1x p5jr = laag. </w:t>
            </w:r>
          </w:p>
        </w:tc>
        <w:tc>
          <w:tcPr>
            <w:tcW w:w="1612"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1821586F" w14:textId="77777777" w:rsidR="00736314" w:rsidRPr="00A42EA8" w:rsidRDefault="00736314" w:rsidP="00C5408C">
            <w:pPr>
              <w:rPr>
                <w:sz w:val="16"/>
                <w:szCs w:val="16"/>
              </w:rPr>
            </w:pPr>
            <w:r w:rsidRPr="00A42EA8">
              <w:rPr>
                <w:sz w:val="16"/>
                <w:szCs w:val="16"/>
              </w:rPr>
              <w:t>Hoog</w:t>
            </w:r>
          </w:p>
        </w:tc>
        <w:tc>
          <w:tcPr>
            <w:tcW w:w="1612"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524A5571" w14:textId="77777777" w:rsidR="00736314" w:rsidRPr="00A42EA8" w:rsidRDefault="00736314" w:rsidP="00C5408C">
            <w:pPr>
              <w:rPr>
                <w:sz w:val="16"/>
                <w:szCs w:val="16"/>
              </w:rPr>
            </w:pPr>
            <w:r w:rsidRPr="00A42EA8">
              <w:rPr>
                <w:sz w:val="16"/>
                <w:szCs w:val="16"/>
              </w:rPr>
              <w:t>laag</w:t>
            </w:r>
          </w:p>
        </w:tc>
        <w:tc>
          <w:tcPr>
            <w:tcW w:w="872"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tcPr>
          <w:p w14:paraId="4A9D2CAE" w14:textId="6D077294" w:rsidR="00736314" w:rsidRPr="00A42EA8" w:rsidRDefault="00736314" w:rsidP="00C5408C">
            <w:pPr>
              <w:rPr>
                <w:sz w:val="16"/>
                <w:szCs w:val="16"/>
              </w:rPr>
            </w:pPr>
          </w:p>
        </w:tc>
      </w:tr>
      <w:tr w:rsidR="00736314" w:rsidRPr="00A42EA8" w14:paraId="09F35F58" w14:textId="77777777" w:rsidTr="009A6E22">
        <w:trPr>
          <w:trHeight w:val="868"/>
        </w:trPr>
        <w:tc>
          <w:tcPr>
            <w:tcW w:w="441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30811DB3" w14:textId="07CD0B05" w:rsidR="00736314" w:rsidRPr="00A42EA8" w:rsidRDefault="00736314" w:rsidP="00C5408C">
            <w:pPr>
              <w:rPr>
                <w:sz w:val="16"/>
                <w:szCs w:val="16"/>
              </w:rPr>
            </w:pPr>
            <w:r w:rsidRPr="00A42EA8">
              <w:rPr>
                <w:sz w:val="16"/>
                <w:szCs w:val="16"/>
              </w:rPr>
              <w:t xml:space="preserve">Hoe hoog is de veranderlijkheid van de </w:t>
            </w:r>
            <w:r w:rsidRPr="00A42EA8">
              <w:rPr>
                <w:sz w:val="16"/>
                <w:szCs w:val="16"/>
                <w:u w:val="single"/>
              </w:rPr>
              <w:t>codelijsten</w:t>
            </w:r>
            <w:r w:rsidRPr="00A42EA8">
              <w:rPr>
                <w:sz w:val="16"/>
                <w:szCs w:val="16"/>
              </w:rPr>
              <w:t xml:space="preserve"> van het RO én van het INSPIRE</w:t>
            </w:r>
            <w:r w:rsidR="004B3D53">
              <w:rPr>
                <w:sz w:val="16"/>
                <w:szCs w:val="16"/>
              </w:rPr>
              <w:t>-</w:t>
            </w:r>
            <w:r w:rsidRPr="00A42EA8">
              <w:rPr>
                <w:sz w:val="16"/>
                <w:szCs w:val="16"/>
              </w:rPr>
              <w:t xml:space="preserve">thema, hetzij vanuit EU hetzij vanuit NL. </w:t>
            </w:r>
          </w:p>
          <w:p w14:paraId="645D303F" w14:textId="35E6A55D" w:rsidR="00736314" w:rsidRPr="00A42EA8" w:rsidRDefault="00736314" w:rsidP="00C5408C">
            <w:pPr>
              <w:rPr>
                <w:sz w:val="16"/>
                <w:szCs w:val="16"/>
              </w:rPr>
            </w:pPr>
            <w:r w:rsidRPr="00A42EA8">
              <w:rPr>
                <w:sz w:val="16"/>
                <w:szCs w:val="16"/>
              </w:rPr>
              <w:t>Norm: 1x</w:t>
            </w:r>
            <w:r w:rsidR="004B3D53">
              <w:rPr>
                <w:sz w:val="16"/>
                <w:szCs w:val="16"/>
              </w:rPr>
              <w:t>/</w:t>
            </w:r>
            <w:r w:rsidRPr="00A42EA8">
              <w:rPr>
                <w:sz w:val="16"/>
                <w:szCs w:val="16"/>
              </w:rPr>
              <w:t>mnd = hoog</w:t>
            </w:r>
            <w:r w:rsidR="004B3D53">
              <w:rPr>
                <w:sz w:val="16"/>
                <w:szCs w:val="16"/>
              </w:rPr>
              <w:t>,</w:t>
            </w:r>
            <w:r w:rsidRPr="00A42EA8">
              <w:rPr>
                <w:sz w:val="16"/>
                <w:szCs w:val="16"/>
              </w:rPr>
              <w:t xml:space="preserve"> 1x</w:t>
            </w:r>
            <w:r w:rsidR="004B3D53">
              <w:rPr>
                <w:sz w:val="16"/>
                <w:szCs w:val="16"/>
              </w:rPr>
              <w:t>/</w:t>
            </w:r>
            <w:r w:rsidRPr="00A42EA8">
              <w:rPr>
                <w:sz w:val="16"/>
                <w:szCs w:val="16"/>
              </w:rPr>
              <w:t>kw = midden</w:t>
            </w:r>
            <w:r w:rsidR="004B3D53">
              <w:rPr>
                <w:sz w:val="16"/>
                <w:szCs w:val="16"/>
              </w:rPr>
              <w:t>,</w:t>
            </w:r>
            <w:r w:rsidRPr="00A42EA8">
              <w:rPr>
                <w:sz w:val="16"/>
                <w:szCs w:val="16"/>
              </w:rPr>
              <w:t xml:space="preserve"> Vanaf 1x</w:t>
            </w:r>
            <w:r w:rsidR="004B3D53">
              <w:rPr>
                <w:sz w:val="16"/>
                <w:szCs w:val="16"/>
              </w:rPr>
              <w:t>/</w:t>
            </w:r>
            <w:r w:rsidRPr="00A42EA8">
              <w:rPr>
                <w:sz w:val="16"/>
                <w:szCs w:val="16"/>
              </w:rPr>
              <w:t xml:space="preserve">jr = laag </w:t>
            </w:r>
          </w:p>
          <w:p w14:paraId="6610C105" w14:textId="77777777" w:rsidR="00736314" w:rsidRPr="004B3D53" w:rsidRDefault="00736314" w:rsidP="00C5408C">
            <w:pPr>
              <w:rPr>
                <w:i/>
                <w:iCs/>
                <w:sz w:val="16"/>
                <w:szCs w:val="16"/>
              </w:rPr>
            </w:pPr>
            <w:r w:rsidRPr="004B3D53">
              <w:rPr>
                <w:i/>
                <w:iCs/>
                <w:sz w:val="16"/>
                <w:szCs w:val="16"/>
              </w:rPr>
              <w:t xml:space="preserve">Opmerking: bij INSPIRE gaan de codelijsten uit de standaard vanwege de veranderlijkheid en het vereiste proces. </w:t>
            </w:r>
          </w:p>
        </w:tc>
        <w:tc>
          <w:tcPr>
            <w:tcW w:w="161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2BC9B861" w14:textId="77777777" w:rsidR="00736314" w:rsidRPr="00A42EA8" w:rsidRDefault="00736314" w:rsidP="00C5408C">
            <w:pPr>
              <w:rPr>
                <w:sz w:val="16"/>
                <w:szCs w:val="16"/>
              </w:rPr>
            </w:pPr>
            <w:r w:rsidRPr="00A42EA8">
              <w:rPr>
                <w:sz w:val="16"/>
                <w:szCs w:val="16"/>
              </w:rPr>
              <w:t>Hoog</w:t>
            </w:r>
          </w:p>
        </w:tc>
        <w:tc>
          <w:tcPr>
            <w:tcW w:w="161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74B339BA" w14:textId="77777777" w:rsidR="00736314" w:rsidRPr="00A42EA8" w:rsidRDefault="00736314" w:rsidP="00C5408C">
            <w:pPr>
              <w:rPr>
                <w:sz w:val="16"/>
                <w:szCs w:val="16"/>
              </w:rPr>
            </w:pPr>
            <w:r w:rsidRPr="00A42EA8">
              <w:rPr>
                <w:sz w:val="16"/>
                <w:szCs w:val="16"/>
              </w:rPr>
              <w:t>laag</w:t>
            </w:r>
          </w:p>
        </w:tc>
        <w:tc>
          <w:tcPr>
            <w:tcW w:w="87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tcPr>
          <w:p w14:paraId="0024418D" w14:textId="51C38DDA" w:rsidR="00736314" w:rsidRPr="00A42EA8" w:rsidRDefault="00736314" w:rsidP="00C5408C">
            <w:pPr>
              <w:rPr>
                <w:sz w:val="16"/>
                <w:szCs w:val="16"/>
              </w:rPr>
            </w:pPr>
          </w:p>
        </w:tc>
      </w:tr>
      <w:tr w:rsidR="00736314" w:rsidRPr="00A42EA8" w14:paraId="4B7FD8D7" w14:textId="77777777" w:rsidTr="009A6E22">
        <w:trPr>
          <w:trHeight w:val="868"/>
        </w:trPr>
        <w:tc>
          <w:tcPr>
            <w:tcW w:w="441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589D7162" w14:textId="2D653F06" w:rsidR="00736314" w:rsidRPr="00A42EA8" w:rsidRDefault="00736314" w:rsidP="00C5408C">
            <w:pPr>
              <w:rPr>
                <w:sz w:val="16"/>
                <w:szCs w:val="16"/>
              </w:rPr>
            </w:pPr>
            <w:r w:rsidRPr="00A42EA8">
              <w:rPr>
                <w:sz w:val="16"/>
                <w:szCs w:val="16"/>
              </w:rPr>
              <w:t>Is het RO een deel van een RO (deelverzameling) en welke optie is dan al geïmplementeerd voor het andere deel van het RO (m</w:t>
            </w:r>
            <w:r w:rsidR="004B3D53">
              <w:rPr>
                <w:sz w:val="16"/>
                <w:szCs w:val="16"/>
              </w:rPr>
              <w:t>et name</w:t>
            </w:r>
            <w:r w:rsidRPr="00A42EA8">
              <w:rPr>
                <w:sz w:val="16"/>
                <w:szCs w:val="16"/>
              </w:rPr>
              <w:t xml:space="preserve"> relevant voor booronderzoek)</w:t>
            </w:r>
            <w:r w:rsidR="004B3D53">
              <w:rPr>
                <w:sz w:val="16"/>
                <w:szCs w:val="16"/>
              </w:rPr>
              <w:t>?</w:t>
            </w:r>
          </w:p>
        </w:tc>
        <w:tc>
          <w:tcPr>
            <w:tcW w:w="161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2B13B095" w14:textId="77777777" w:rsidR="00736314" w:rsidRPr="00A42EA8" w:rsidRDefault="00736314" w:rsidP="00C5408C">
            <w:pPr>
              <w:rPr>
                <w:sz w:val="16"/>
                <w:szCs w:val="16"/>
              </w:rPr>
            </w:pPr>
            <w:r w:rsidRPr="00A42EA8">
              <w:rPr>
                <w:sz w:val="16"/>
                <w:szCs w:val="16"/>
              </w:rPr>
              <w:t>Consistentie</w:t>
            </w:r>
          </w:p>
        </w:tc>
        <w:tc>
          <w:tcPr>
            <w:tcW w:w="161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2D6A1594" w14:textId="77777777" w:rsidR="00736314" w:rsidRPr="00A42EA8" w:rsidRDefault="00736314" w:rsidP="00C5408C">
            <w:pPr>
              <w:rPr>
                <w:sz w:val="16"/>
                <w:szCs w:val="16"/>
              </w:rPr>
            </w:pPr>
            <w:r w:rsidRPr="00A42EA8">
              <w:rPr>
                <w:sz w:val="16"/>
                <w:szCs w:val="16"/>
              </w:rPr>
              <w:t xml:space="preserve">Consistentie </w:t>
            </w:r>
          </w:p>
        </w:tc>
        <w:tc>
          <w:tcPr>
            <w:tcW w:w="87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tcPr>
          <w:p w14:paraId="59CA9340" w14:textId="5625C839" w:rsidR="00736314" w:rsidRPr="00A42EA8" w:rsidRDefault="00736314" w:rsidP="00C5408C">
            <w:pPr>
              <w:rPr>
                <w:sz w:val="16"/>
                <w:szCs w:val="16"/>
              </w:rPr>
            </w:pPr>
          </w:p>
        </w:tc>
      </w:tr>
      <w:tr w:rsidR="00736314" w:rsidRPr="00A42EA8" w14:paraId="337DDB88" w14:textId="77777777" w:rsidTr="009A6E22">
        <w:trPr>
          <w:trHeight w:val="868"/>
        </w:trPr>
        <w:tc>
          <w:tcPr>
            <w:tcW w:w="441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02AE7ABD" w14:textId="77777777" w:rsidR="00736314" w:rsidRPr="00A42EA8" w:rsidRDefault="00736314" w:rsidP="00C5408C">
            <w:pPr>
              <w:rPr>
                <w:sz w:val="16"/>
                <w:szCs w:val="16"/>
              </w:rPr>
            </w:pPr>
            <w:r w:rsidRPr="00A42EA8">
              <w:rPr>
                <w:sz w:val="16"/>
                <w:szCs w:val="16"/>
              </w:rPr>
              <w:t>Is het RO een prioriteit binnen de BRO? (planning en tranches)</w:t>
            </w:r>
          </w:p>
        </w:tc>
        <w:tc>
          <w:tcPr>
            <w:tcW w:w="161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7AA754D6" w14:textId="77777777" w:rsidR="00736314" w:rsidRPr="00A42EA8" w:rsidRDefault="00736314" w:rsidP="00C5408C">
            <w:pPr>
              <w:rPr>
                <w:sz w:val="16"/>
                <w:szCs w:val="16"/>
              </w:rPr>
            </w:pPr>
            <w:r w:rsidRPr="00A42EA8">
              <w:rPr>
                <w:sz w:val="16"/>
                <w:szCs w:val="16"/>
              </w:rPr>
              <w:t>Moet snel</w:t>
            </w:r>
          </w:p>
        </w:tc>
        <w:tc>
          <w:tcPr>
            <w:tcW w:w="161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006E8E15" w14:textId="77777777" w:rsidR="00736314" w:rsidRPr="00A42EA8" w:rsidRDefault="00736314" w:rsidP="00C5408C">
            <w:pPr>
              <w:rPr>
                <w:sz w:val="16"/>
                <w:szCs w:val="16"/>
              </w:rPr>
            </w:pPr>
            <w:r w:rsidRPr="00A42EA8">
              <w:rPr>
                <w:sz w:val="16"/>
                <w:szCs w:val="16"/>
              </w:rPr>
              <w:t>We hebben de tijd</w:t>
            </w:r>
          </w:p>
        </w:tc>
        <w:tc>
          <w:tcPr>
            <w:tcW w:w="87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tcPr>
          <w:p w14:paraId="2C4D7B3F" w14:textId="027F1F5B" w:rsidR="00736314" w:rsidRPr="00A42EA8" w:rsidRDefault="00736314" w:rsidP="00C5408C">
            <w:pPr>
              <w:rPr>
                <w:sz w:val="16"/>
                <w:szCs w:val="16"/>
              </w:rPr>
            </w:pPr>
          </w:p>
        </w:tc>
      </w:tr>
      <w:tr w:rsidR="00736314" w:rsidRPr="00A42EA8" w14:paraId="40EA7B0C" w14:textId="77777777" w:rsidTr="009A6E22">
        <w:trPr>
          <w:trHeight w:val="868"/>
        </w:trPr>
        <w:tc>
          <w:tcPr>
            <w:tcW w:w="441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7E5BC5DC" w14:textId="1EDA045B" w:rsidR="00736314" w:rsidRPr="00A42EA8" w:rsidRDefault="004B3D53" w:rsidP="00C5408C">
            <w:pPr>
              <w:rPr>
                <w:sz w:val="16"/>
                <w:szCs w:val="16"/>
              </w:rPr>
            </w:pPr>
            <w:r>
              <w:rPr>
                <w:sz w:val="16"/>
                <w:szCs w:val="16"/>
              </w:rPr>
              <w:t>I</w:t>
            </w:r>
            <w:r w:rsidR="00736314" w:rsidRPr="00A42EA8">
              <w:rPr>
                <w:sz w:val="16"/>
                <w:szCs w:val="16"/>
              </w:rPr>
              <w:t xml:space="preserve">mpact op stakeholders (aanlevering én gebruik) bij ontwikkeling en beheer van de standaard/het RO. Norm: </w:t>
            </w:r>
          </w:p>
          <w:p w14:paraId="21C27C20" w14:textId="77777777" w:rsidR="00736314" w:rsidRPr="00A42EA8" w:rsidRDefault="00736314" w:rsidP="00C5408C">
            <w:pPr>
              <w:rPr>
                <w:sz w:val="16"/>
                <w:szCs w:val="16"/>
              </w:rPr>
            </w:pPr>
            <w:r w:rsidRPr="00A42EA8">
              <w:rPr>
                <w:sz w:val="16"/>
                <w:szCs w:val="16"/>
              </w:rPr>
              <w:t xml:space="preserve">Veel = combinatie van zowel publieke als private partijen, interbestuurlijk, kennisinstituten (diversiteit van stakeholders) en meer dan vijf data aanleverende partijen;  </w:t>
            </w:r>
          </w:p>
          <w:p w14:paraId="3D20A8C6" w14:textId="77777777" w:rsidR="00736314" w:rsidRPr="00A42EA8" w:rsidRDefault="00736314" w:rsidP="00C5408C">
            <w:pPr>
              <w:rPr>
                <w:sz w:val="16"/>
                <w:szCs w:val="16"/>
              </w:rPr>
            </w:pPr>
            <w:r w:rsidRPr="00A42EA8">
              <w:rPr>
                <w:sz w:val="16"/>
                <w:szCs w:val="16"/>
              </w:rPr>
              <w:t xml:space="preserve">Weinig = een enkele categorie bronhouders en onder de vijf data aanleverende partijen </w:t>
            </w:r>
          </w:p>
        </w:tc>
        <w:tc>
          <w:tcPr>
            <w:tcW w:w="161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28F782E8" w14:textId="77777777" w:rsidR="00736314" w:rsidRPr="00A42EA8" w:rsidRDefault="00736314" w:rsidP="00C5408C">
            <w:pPr>
              <w:rPr>
                <w:sz w:val="16"/>
                <w:szCs w:val="16"/>
              </w:rPr>
            </w:pPr>
            <w:r w:rsidRPr="00A42EA8">
              <w:rPr>
                <w:sz w:val="16"/>
                <w:szCs w:val="16"/>
              </w:rPr>
              <w:t>Veel en diverse bronhouders / afnemers / dataleveranciers</w:t>
            </w:r>
          </w:p>
        </w:tc>
        <w:tc>
          <w:tcPr>
            <w:tcW w:w="161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3A65C2FE" w14:textId="77777777" w:rsidR="00736314" w:rsidRPr="00A42EA8" w:rsidRDefault="00736314" w:rsidP="00C5408C">
            <w:pPr>
              <w:rPr>
                <w:sz w:val="16"/>
                <w:szCs w:val="16"/>
              </w:rPr>
            </w:pPr>
            <w:r w:rsidRPr="00A42EA8">
              <w:rPr>
                <w:sz w:val="16"/>
                <w:szCs w:val="16"/>
              </w:rPr>
              <w:t>Weinig en homogene groep bronhouders / afnemers / dataleveranciers</w:t>
            </w:r>
          </w:p>
        </w:tc>
        <w:tc>
          <w:tcPr>
            <w:tcW w:w="87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tcPr>
          <w:p w14:paraId="6CF65367" w14:textId="61E2A812" w:rsidR="00736314" w:rsidRPr="00A42EA8" w:rsidRDefault="00736314" w:rsidP="00C5408C">
            <w:pPr>
              <w:rPr>
                <w:sz w:val="16"/>
                <w:szCs w:val="16"/>
              </w:rPr>
            </w:pPr>
          </w:p>
        </w:tc>
      </w:tr>
    </w:tbl>
    <w:p w14:paraId="7E7F5319" w14:textId="77777777" w:rsidR="00736314" w:rsidRPr="00A42EA8" w:rsidRDefault="00736314" w:rsidP="00736314">
      <w:pPr>
        <w:rPr>
          <w:sz w:val="16"/>
          <w:szCs w:val="16"/>
        </w:rPr>
      </w:pPr>
    </w:p>
    <w:p w14:paraId="75A3DAD1" w14:textId="6AE9E810" w:rsidR="00736314" w:rsidRDefault="00736314">
      <w:pPr>
        <w:spacing w:line="240" w:lineRule="auto"/>
        <w:rPr>
          <w:sz w:val="16"/>
          <w:szCs w:val="16"/>
        </w:rPr>
      </w:pPr>
      <w:r>
        <w:rPr>
          <w:sz w:val="16"/>
          <w:szCs w:val="16"/>
        </w:rPr>
        <w:br w:type="page"/>
      </w:r>
    </w:p>
    <w:p w14:paraId="2A78A21A" w14:textId="77777777" w:rsidR="00736314" w:rsidRPr="00A42EA8" w:rsidRDefault="00736314" w:rsidP="00736314">
      <w:pPr>
        <w:rPr>
          <w:sz w:val="16"/>
          <w:szCs w:val="16"/>
        </w:rPr>
      </w:pPr>
    </w:p>
    <w:tbl>
      <w:tblPr>
        <w:tblW w:w="8649" w:type="dxa"/>
        <w:tblCellMar>
          <w:left w:w="0" w:type="dxa"/>
          <w:right w:w="0" w:type="dxa"/>
        </w:tblCellMar>
        <w:tblLook w:val="0420" w:firstRow="1" w:lastRow="0" w:firstColumn="0" w:lastColumn="0" w:noHBand="0" w:noVBand="1"/>
      </w:tblPr>
      <w:tblGrid>
        <w:gridCol w:w="4347"/>
        <w:gridCol w:w="1445"/>
        <w:gridCol w:w="1435"/>
        <w:gridCol w:w="1422"/>
      </w:tblGrid>
      <w:tr w:rsidR="004B3D53" w:rsidRPr="00A42EA8" w14:paraId="7D43C4D7" w14:textId="77777777" w:rsidTr="009A6E22">
        <w:trPr>
          <w:trHeight w:val="474"/>
        </w:trPr>
        <w:tc>
          <w:tcPr>
            <w:tcW w:w="4347"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2A0E8421" w14:textId="77777777" w:rsidR="00736314" w:rsidRPr="00A42EA8" w:rsidRDefault="00736314" w:rsidP="00C5408C">
            <w:pPr>
              <w:rPr>
                <w:sz w:val="16"/>
                <w:szCs w:val="16"/>
              </w:rPr>
            </w:pPr>
            <w:r w:rsidRPr="00A42EA8">
              <w:rPr>
                <w:b/>
                <w:bCs/>
                <w:sz w:val="16"/>
                <w:szCs w:val="16"/>
              </w:rPr>
              <w:t>Criterium per registratieobject: voor keuze optie 1 of optie 2</w:t>
            </w:r>
          </w:p>
        </w:tc>
        <w:tc>
          <w:tcPr>
            <w:tcW w:w="1445"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09EFB7BD" w14:textId="77777777" w:rsidR="00736314" w:rsidRPr="00A42EA8" w:rsidRDefault="00736314" w:rsidP="00C5408C">
            <w:pPr>
              <w:rPr>
                <w:sz w:val="16"/>
                <w:szCs w:val="16"/>
              </w:rPr>
            </w:pPr>
            <w:r w:rsidRPr="00A42EA8">
              <w:rPr>
                <w:b/>
                <w:bCs/>
                <w:sz w:val="16"/>
                <w:szCs w:val="16"/>
              </w:rPr>
              <w:t>Optie 1: mapping</w:t>
            </w:r>
          </w:p>
        </w:tc>
        <w:tc>
          <w:tcPr>
            <w:tcW w:w="1435"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4C6887A7" w14:textId="77777777" w:rsidR="00736314" w:rsidRPr="00A42EA8" w:rsidRDefault="00736314" w:rsidP="00C5408C">
            <w:pPr>
              <w:rPr>
                <w:sz w:val="16"/>
                <w:szCs w:val="16"/>
              </w:rPr>
            </w:pPr>
            <w:r w:rsidRPr="00A42EA8">
              <w:rPr>
                <w:b/>
                <w:bCs/>
                <w:sz w:val="16"/>
                <w:szCs w:val="16"/>
              </w:rPr>
              <w:t>Optie 2: in catalogus</w:t>
            </w:r>
          </w:p>
        </w:tc>
        <w:tc>
          <w:tcPr>
            <w:tcW w:w="1422"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tcPr>
          <w:p w14:paraId="61290222" w14:textId="4F56955B" w:rsidR="00736314" w:rsidRPr="00A42EA8" w:rsidRDefault="00736314" w:rsidP="00C5408C">
            <w:pPr>
              <w:rPr>
                <w:sz w:val="16"/>
                <w:szCs w:val="16"/>
              </w:rPr>
            </w:pPr>
          </w:p>
        </w:tc>
      </w:tr>
      <w:tr w:rsidR="004B3D53" w:rsidRPr="00A42EA8" w14:paraId="33ABEB09" w14:textId="77777777" w:rsidTr="009A6E22">
        <w:trPr>
          <w:trHeight w:val="901"/>
        </w:trPr>
        <w:tc>
          <w:tcPr>
            <w:tcW w:w="4347"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2BE35AED" w14:textId="1F921805" w:rsidR="00736314" w:rsidRPr="00A42EA8" w:rsidRDefault="00736314" w:rsidP="00C5408C">
            <w:pPr>
              <w:rPr>
                <w:sz w:val="16"/>
                <w:szCs w:val="16"/>
              </w:rPr>
            </w:pPr>
            <w:r w:rsidRPr="00A42EA8">
              <w:rPr>
                <w:sz w:val="16"/>
                <w:szCs w:val="16"/>
              </w:rPr>
              <w:t>Toepasbaarheid van de door INSPIRE geleverde standaard/attributen, hoe dicht ligt het bij het beoogde model NL/BRO; combi van mate van overlap en verschil. Norm:</w:t>
            </w:r>
          </w:p>
          <w:p w14:paraId="4C240273" w14:textId="77777777" w:rsidR="00736314" w:rsidRPr="004B3D53" w:rsidRDefault="00736314" w:rsidP="006D748D">
            <w:pPr>
              <w:pStyle w:val="Lijstalinea"/>
              <w:numPr>
                <w:ilvl w:val="0"/>
                <w:numId w:val="35"/>
              </w:numPr>
              <w:autoSpaceDN/>
              <w:spacing w:line="240" w:lineRule="auto"/>
              <w:ind w:left="284" w:hanging="218"/>
              <w:textAlignment w:val="auto"/>
              <w:rPr>
                <w:sz w:val="16"/>
                <w:szCs w:val="16"/>
              </w:rPr>
            </w:pPr>
            <w:r w:rsidRPr="004B3D53">
              <w:rPr>
                <w:sz w:val="16"/>
                <w:szCs w:val="16"/>
              </w:rPr>
              <w:t>Veel = veel overlap, veel verschil</w:t>
            </w:r>
          </w:p>
          <w:p w14:paraId="1C7ED324" w14:textId="77777777" w:rsidR="00736314" w:rsidRPr="004B3D53" w:rsidRDefault="00736314" w:rsidP="006D748D">
            <w:pPr>
              <w:pStyle w:val="Lijstalinea"/>
              <w:numPr>
                <w:ilvl w:val="0"/>
                <w:numId w:val="35"/>
              </w:numPr>
              <w:autoSpaceDN/>
              <w:spacing w:line="240" w:lineRule="auto"/>
              <w:ind w:left="284" w:hanging="218"/>
              <w:textAlignment w:val="auto"/>
              <w:rPr>
                <w:sz w:val="16"/>
                <w:szCs w:val="16"/>
              </w:rPr>
            </w:pPr>
            <w:r w:rsidRPr="004B3D53">
              <w:rPr>
                <w:sz w:val="16"/>
                <w:szCs w:val="16"/>
              </w:rPr>
              <w:t>Weinig = weinig overlap, weinig verschil</w:t>
            </w:r>
          </w:p>
        </w:tc>
        <w:tc>
          <w:tcPr>
            <w:tcW w:w="1445"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4876CBFE" w14:textId="77777777" w:rsidR="00736314" w:rsidRPr="00A42EA8" w:rsidRDefault="00736314" w:rsidP="00C5408C">
            <w:pPr>
              <w:rPr>
                <w:sz w:val="16"/>
                <w:szCs w:val="16"/>
              </w:rPr>
            </w:pPr>
            <w:r w:rsidRPr="00A42EA8">
              <w:rPr>
                <w:sz w:val="16"/>
                <w:szCs w:val="16"/>
              </w:rPr>
              <w:t xml:space="preserve">Veel verschil </w:t>
            </w:r>
          </w:p>
        </w:tc>
        <w:tc>
          <w:tcPr>
            <w:tcW w:w="1435"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107CA6CB" w14:textId="77777777" w:rsidR="00736314" w:rsidRPr="00A42EA8" w:rsidRDefault="00736314" w:rsidP="00C5408C">
            <w:pPr>
              <w:rPr>
                <w:sz w:val="16"/>
                <w:szCs w:val="16"/>
              </w:rPr>
            </w:pPr>
            <w:r w:rsidRPr="00A42EA8">
              <w:rPr>
                <w:sz w:val="16"/>
                <w:szCs w:val="16"/>
              </w:rPr>
              <w:t xml:space="preserve">Weinig verschil </w:t>
            </w:r>
          </w:p>
        </w:tc>
        <w:tc>
          <w:tcPr>
            <w:tcW w:w="1422"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tcPr>
          <w:p w14:paraId="19177338" w14:textId="47AC943B" w:rsidR="00736314" w:rsidRPr="00A42EA8" w:rsidRDefault="00736314" w:rsidP="00C5408C">
            <w:pPr>
              <w:rPr>
                <w:sz w:val="16"/>
                <w:szCs w:val="16"/>
              </w:rPr>
            </w:pPr>
          </w:p>
        </w:tc>
      </w:tr>
      <w:tr w:rsidR="004B3D53" w:rsidRPr="00A42EA8" w14:paraId="48F40F2B" w14:textId="77777777" w:rsidTr="009A6E22">
        <w:trPr>
          <w:trHeight w:val="901"/>
        </w:trPr>
        <w:tc>
          <w:tcPr>
            <w:tcW w:w="4347"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65647AE1" w14:textId="63418232" w:rsidR="00736314" w:rsidRPr="00A42EA8" w:rsidRDefault="00736314" w:rsidP="00C5408C">
            <w:pPr>
              <w:rPr>
                <w:sz w:val="16"/>
                <w:szCs w:val="16"/>
              </w:rPr>
            </w:pPr>
            <w:r w:rsidRPr="00A42EA8">
              <w:rPr>
                <w:sz w:val="16"/>
                <w:szCs w:val="16"/>
              </w:rPr>
              <w:t>Kwaliteit van het INSPIRE</w:t>
            </w:r>
            <w:r w:rsidR="004B3D53">
              <w:rPr>
                <w:sz w:val="16"/>
                <w:szCs w:val="16"/>
              </w:rPr>
              <w:t>-</w:t>
            </w:r>
            <w:r w:rsidRPr="00A42EA8">
              <w:rPr>
                <w:sz w:val="16"/>
                <w:szCs w:val="16"/>
              </w:rPr>
              <w:t>model zelf (dit is een expertopinie door data analist/modelleur)</w:t>
            </w:r>
          </w:p>
        </w:tc>
        <w:tc>
          <w:tcPr>
            <w:tcW w:w="1445"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5ACAF5EF" w14:textId="77777777" w:rsidR="00736314" w:rsidRPr="00A42EA8" w:rsidRDefault="00736314" w:rsidP="00C5408C">
            <w:pPr>
              <w:rPr>
                <w:sz w:val="16"/>
                <w:szCs w:val="16"/>
              </w:rPr>
            </w:pPr>
            <w:r w:rsidRPr="00A42EA8">
              <w:rPr>
                <w:sz w:val="16"/>
                <w:szCs w:val="16"/>
              </w:rPr>
              <w:t xml:space="preserve">Matig, slecht </w:t>
            </w:r>
          </w:p>
        </w:tc>
        <w:tc>
          <w:tcPr>
            <w:tcW w:w="1435"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3749B6C1" w14:textId="77777777" w:rsidR="00736314" w:rsidRPr="00A42EA8" w:rsidRDefault="00736314" w:rsidP="00C5408C">
            <w:pPr>
              <w:rPr>
                <w:sz w:val="16"/>
                <w:szCs w:val="16"/>
              </w:rPr>
            </w:pPr>
            <w:r w:rsidRPr="00A42EA8">
              <w:rPr>
                <w:sz w:val="16"/>
                <w:szCs w:val="16"/>
              </w:rPr>
              <w:t xml:space="preserve">(heel) goed </w:t>
            </w:r>
          </w:p>
        </w:tc>
        <w:tc>
          <w:tcPr>
            <w:tcW w:w="142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tcPr>
          <w:p w14:paraId="21F4D74B" w14:textId="42BF82E9" w:rsidR="00736314" w:rsidRPr="00A42EA8" w:rsidRDefault="00736314" w:rsidP="00C5408C">
            <w:pPr>
              <w:rPr>
                <w:sz w:val="16"/>
                <w:szCs w:val="16"/>
              </w:rPr>
            </w:pPr>
          </w:p>
        </w:tc>
      </w:tr>
      <w:tr w:rsidR="004B3D53" w:rsidRPr="00A42EA8" w14:paraId="130A70B7" w14:textId="77777777" w:rsidTr="009A6E22">
        <w:trPr>
          <w:trHeight w:val="901"/>
        </w:trPr>
        <w:tc>
          <w:tcPr>
            <w:tcW w:w="4347"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55F6C3EE" w14:textId="58873B75" w:rsidR="00736314" w:rsidRPr="00A42EA8" w:rsidRDefault="00736314" w:rsidP="00C5408C">
            <w:pPr>
              <w:rPr>
                <w:sz w:val="16"/>
                <w:szCs w:val="16"/>
              </w:rPr>
            </w:pPr>
            <w:r w:rsidRPr="00A42EA8">
              <w:rPr>
                <w:sz w:val="16"/>
                <w:szCs w:val="16"/>
              </w:rPr>
              <w:t>Thema INSPIRE EU ‘staat tot</w:t>
            </w:r>
            <w:r w:rsidR="004B3D53">
              <w:rPr>
                <w:sz w:val="16"/>
                <w:szCs w:val="16"/>
              </w:rPr>
              <w:t>’</w:t>
            </w:r>
            <w:r w:rsidRPr="00A42EA8">
              <w:rPr>
                <w:sz w:val="16"/>
                <w:szCs w:val="16"/>
              </w:rPr>
              <w:t xml:space="preserve"> thema RO NL (kan om verschillend detailniveau gaan)</w:t>
            </w:r>
          </w:p>
        </w:tc>
        <w:tc>
          <w:tcPr>
            <w:tcW w:w="1445"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76C75D18" w14:textId="77777777" w:rsidR="00736314" w:rsidRPr="00A42EA8" w:rsidRDefault="00736314" w:rsidP="00C5408C">
            <w:pPr>
              <w:rPr>
                <w:sz w:val="16"/>
                <w:szCs w:val="16"/>
              </w:rPr>
            </w:pPr>
            <w:r w:rsidRPr="00A42EA8">
              <w:rPr>
                <w:sz w:val="16"/>
                <w:szCs w:val="16"/>
              </w:rPr>
              <w:t xml:space="preserve">niet 1:1 </w:t>
            </w:r>
          </w:p>
        </w:tc>
        <w:tc>
          <w:tcPr>
            <w:tcW w:w="1435"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594B678A" w14:textId="77777777" w:rsidR="00736314" w:rsidRPr="00A42EA8" w:rsidRDefault="00736314" w:rsidP="00C5408C">
            <w:pPr>
              <w:rPr>
                <w:sz w:val="16"/>
                <w:szCs w:val="16"/>
              </w:rPr>
            </w:pPr>
            <w:r w:rsidRPr="00A42EA8">
              <w:rPr>
                <w:sz w:val="16"/>
                <w:szCs w:val="16"/>
              </w:rPr>
              <w:t>1:1</w:t>
            </w:r>
          </w:p>
        </w:tc>
        <w:tc>
          <w:tcPr>
            <w:tcW w:w="142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tcPr>
          <w:p w14:paraId="3CD002DB" w14:textId="480DF890" w:rsidR="00736314" w:rsidRPr="00A42EA8" w:rsidRDefault="00736314" w:rsidP="00C5408C">
            <w:pPr>
              <w:rPr>
                <w:sz w:val="16"/>
                <w:szCs w:val="16"/>
              </w:rPr>
            </w:pPr>
          </w:p>
        </w:tc>
      </w:tr>
      <w:tr w:rsidR="004B3D53" w:rsidRPr="00A42EA8" w14:paraId="2664250C" w14:textId="77777777" w:rsidTr="009A6E22">
        <w:trPr>
          <w:trHeight w:val="901"/>
        </w:trPr>
        <w:tc>
          <w:tcPr>
            <w:tcW w:w="4347"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1292D834" w14:textId="77777777" w:rsidR="00736314" w:rsidRPr="00A42EA8" w:rsidRDefault="00736314" w:rsidP="00C5408C">
            <w:pPr>
              <w:rPr>
                <w:sz w:val="16"/>
                <w:szCs w:val="16"/>
              </w:rPr>
            </w:pPr>
            <w:r w:rsidRPr="00A42EA8">
              <w:rPr>
                <w:sz w:val="16"/>
                <w:szCs w:val="16"/>
              </w:rPr>
              <w:t>Uitwerking in webservices, omvang, complexiteit (</w:t>
            </w:r>
            <w:r w:rsidRPr="00A42EA8">
              <w:rPr>
                <w:b/>
                <w:bCs/>
                <w:sz w:val="16"/>
                <w:szCs w:val="16"/>
              </w:rPr>
              <w:t>ontwikkeling</w:t>
            </w:r>
            <w:r w:rsidRPr="00A42EA8">
              <w:rPr>
                <w:sz w:val="16"/>
                <w:szCs w:val="16"/>
              </w:rPr>
              <w:t xml:space="preserve">). Het gekozen uitgangspunt is hierbij van belang: </w:t>
            </w:r>
          </w:p>
          <w:p w14:paraId="267CED74" w14:textId="5799958D" w:rsidR="00736314" w:rsidRPr="00A42EA8" w:rsidRDefault="00736314" w:rsidP="006D748D">
            <w:pPr>
              <w:numPr>
                <w:ilvl w:val="0"/>
                <w:numId w:val="33"/>
              </w:numPr>
              <w:autoSpaceDN/>
              <w:spacing w:line="240" w:lineRule="auto"/>
              <w:textAlignment w:val="auto"/>
              <w:rPr>
                <w:sz w:val="16"/>
                <w:szCs w:val="16"/>
              </w:rPr>
            </w:pPr>
            <w:r w:rsidRPr="00A42EA8">
              <w:rPr>
                <w:sz w:val="16"/>
                <w:szCs w:val="16"/>
              </w:rPr>
              <w:t>een geharmoniseerde webservice per INSPIRE</w:t>
            </w:r>
            <w:r w:rsidR="004B3D53">
              <w:rPr>
                <w:sz w:val="16"/>
                <w:szCs w:val="16"/>
              </w:rPr>
              <w:t>-</w:t>
            </w:r>
            <w:r w:rsidRPr="00A42EA8">
              <w:rPr>
                <w:sz w:val="16"/>
                <w:szCs w:val="16"/>
              </w:rPr>
              <w:t>thema of….</w:t>
            </w:r>
          </w:p>
          <w:p w14:paraId="21AE3536" w14:textId="581AD9A8" w:rsidR="00736314" w:rsidRPr="00A42EA8" w:rsidRDefault="00736314" w:rsidP="006D748D">
            <w:pPr>
              <w:numPr>
                <w:ilvl w:val="0"/>
                <w:numId w:val="33"/>
              </w:numPr>
              <w:autoSpaceDN/>
              <w:spacing w:line="240" w:lineRule="auto"/>
              <w:textAlignment w:val="auto"/>
              <w:rPr>
                <w:sz w:val="16"/>
                <w:szCs w:val="16"/>
                <w:lang w:val="en-US"/>
              </w:rPr>
            </w:pPr>
            <w:r w:rsidRPr="00A42EA8">
              <w:rPr>
                <w:sz w:val="16"/>
                <w:szCs w:val="16"/>
                <w:lang w:val="en-US"/>
              </w:rPr>
              <w:t>Een INSPIRE</w:t>
            </w:r>
            <w:r w:rsidR="004B3D53">
              <w:rPr>
                <w:sz w:val="16"/>
                <w:szCs w:val="16"/>
                <w:lang w:val="en-US"/>
              </w:rPr>
              <w:t>-</w:t>
            </w:r>
            <w:r w:rsidRPr="00A42EA8">
              <w:rPr>
                <w:sz w:val="16"/>
                <w:szCs w:val="16"/>
                <w:lang w:val="en-US"/>
              </w:rPr>
              <w:t>webservice per BRO RO.</w:t>
            </w:r>
          </w:p>
          <w:p w14:paraId="333C29B1" w14:textId="77777777" w:rsidR="00736314" w:rsidRPr="00A42EA8" w:rsidRDefault="00736314" w:rsidP="00C5408C">
            <w:pPr>
              <w:rPr>
                <w:sz w:val="16"/>
                <w:szCs w:val="16"/>
              </w:rPr>
            </w:pPr>
            <w:r w:rsidRPr="00A42EA8">
              <w:rPr>
                <w:sz w:val="16"/>
                <w:szCs w:val="16"/>
              </w:rPr>
              <w:t xml:space="preserve">Vraag: mag optie a binnen INSPIRE? Dat zou een versimpeling betekenen…? </w:t>
            </w:r>
            <w:r w:rsidRPr="004B3D53">
              <w:rPr>
                <w:b/>
                <w:bCs/>
                <w:sz w:val="16"/>
                <w:szCs w:val="16"/>
                <w:highlight w:val="yellow"/>
              </w:rPr>
              <w:t>Actie</w:t>
            </w:r>
            <w:r w:rsidRPr="004B3D53">
              <w:rPr>
                <w:sz w:val="16"/>
                <w:szCs w:val="16"/>
                <w:highlight w:val="yellow"/>
              </w:rPr>
              <w:t>: Wideke zoekt uit wat volgens INSPIRE kan, dit resultaat afstemmen met Erik van der Zee voor de BRO architectuur. Daarna dit criterium bijwerken.</w:t>
            </w:r>
            <w:r w:rsidRPr="00A42EA8">
              <w:rPr>
                <w:sz w:val="16"/>
                <w:szCs w:val="16"/>
              </w:rPr>
              <w:t xml:space="preserve"> </w:t>
            </w:r>
          </w:p>
        </w:tc>
        <w:tc>
          <w:tcPr>
            <w:tcW w:w="1445"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2618334F" w14:textId="77777777" w:rsidR="00736314" w:rsidRPr="00A42EA8" w:rsidRDefault="00736314" w:rsidP="00C5408C">
            <w:pPr>
              <w:rPr>
                <w:sz w:val="16"/>
                <w:szCs w:val="16"/>
              </w:rPr>
            </w:pPr>
            <w:r w:rsidRPr="00A42EA8">
              <w:rPr>
                <w:sz w:val="16"/>
                <w:szCs w:val="16"/>
              </w:rPr>
              <w:t xml:space="preserve">Eenvoudig (tweemaal) </w:t>
            </w:r>
          </w:p>
        </w:tc>
        <w:tc>
          <w:tcPr>
            <w:tcW w:w="1435"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hideMark/>
          </w:tcPr>
          <w:p w14:paraId="09752688" w14:textId="77777777" w:rsidR="00736314" w:rsidRPr="00A42EA8" w:rsidRDefault="00736314" w:rsidP="00C5408C">
            <w:pPr>
              <w:rPr>
                <w:sz w:val="16"/>
                <w:szCs w:val="16"/>
              </w:rPr>
            </w:pPr>
            <w:r w:rsidRPr="00A42EA8">
              <w:rPr>
                <w:sz w:val="16"/>
                <w:szCs w:val="16"/>
              </w:rPr>
              <w:t xml:space="preserve">Complex (een) </w:t>
            </w:r>
          </w:p>
        </w:tc>
        <w:tc>
          <w:tcPr>
            <w:tcW w:w="1422" w:type="dxa"/>
            <w:tcBorders>
              <w:top w:val="single" w:sz="8" w:space="0" w:color="FFFFFF"/>
              <w:left w:val="single" w:sz="8" w:space="0" w:color="FFFFFF"/>
              <w:bottom w:val="single" w:sz="8" w:space="0" w:color="FFFFFF"/>
              <w:right w:val="single" w:sz="8" w:space="0" w:color="FFFFFF"/>
            </w:tcBorders>
            <w:shd w:val="clear" w:color="auto" w:fill="E7EBEF"/>
            <w:tcMar>
              <w:top w:w="72" w:type="dxa"/>
              <w:left w:w="144" w:type="dxa"/>
              <w:bottom w:w="72" w:type="dxa"/>
              <w:right w:w="144" w:type="dxa"/>
            </w:tcMar>
          </w:tcPr>
          <w:p w14:paraId="6E53F829" w14:textId="5B0596EF" w:rsidR="00736314" w:rsidRPr="00A42EA8" w:rsidRDefault="00736314" w:rsidP="00C5408C">
            <w:pPr>
              <w:rPr>
                <w:sz w:val="16"/>
                <w:szCs w:val="16"/>
              </w:rPr>
            </w:pPr>
          </w:p>
        </w:tc>
      </w:tr>
      <w:tr w:rsidR="004B3D53" w:rsidRPr="00A42EA8" w14:paraId="61474230" w14:textId="77777777" w:rsidTr="00736314">
        <w:trPr>
          <w:trHeight w:val="901"/>
        </w:trPr>
        <w:tc>
          <w:tcPr>
            <w:tcW w:w="4347"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6AEE036A" w14:textId="77777777" w:rsidR="00736314" w:rsidRPr="00A42EA8" w:rsidRDefault="00736314" w:rsidP="00C5408C">
            <w:pPr>
              <w:rPr>
                <w:sz w:val="16"/>
                <w:szCs w:val="16"/>
              </w:rPr>
            </w:pPr>
            <w:r w:rsidRPr="00A42EA8">
              <w:rPr>
                <w:sz w:val="16"/>
                <w:szCs w:val="16"/>
              </w:rPr>
              <w:t>Uitwerking in webservices, omvang, complexiteit (</w:t>
            </w:r>
            <w:r w:rsidRPr="00A42EA8">
              <w:rPr>
                <w:b/>
                <w:bCs/>
                <w:sz w:val="16"/>
                <w:szCs w:val="16"/>
              </w:rPr>
              <w:t>beheer</w:t>
            </w:r>
            <w:r w:rsidRPr="00A42EA8">
              <w:rPr>
                <w:sz w:val="16"/>
                <w:szCs w:val="16"/>
              </w:rPr>
              <w:t xml:space="preserve">) i.g.v. vernieuwing datamodel (EU of NL). </w:t>
            </w:r>
          </w:p>
          <w:p w14:paraId="4805F357" w14:textId="02291754" w:rsidR="00736314" w:rsidRPr="00A42EA8" w:rsidRDefault="00736314" w:rsidP="00C5408C">
            <w:pPr>
              <w:rPr>
                <w:sz w:val="16"/>
                <w:szCs w:val="16"/>
              </w:rPr>
            </w:pPr>
            <w:r w:rsidRPr="00A42EA8">
              <w:rPr>
                <w:sz w:val="16"/>
                <w:szCs w:val="16"/>
              </w:rPr>
              <w:sym w:font="Wingdings" w:char="F0E0"/>
            </w:r>
            <w:r w:rsidRPr="00A42EA8">
              <w:rPr>
                <w:sz w:val="16"/>
                <w:szCs w:val="16"/>
              </w:rPr>
              <w:t xml:space="preserve"> Zie hierboven</w:t>
            </w:r>
          </w:p>
        </w:tc>
        <w:tc>
          <w:tcPr>
            <w:tcW w:w="1445"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275537EF" w14:textId="77777777" w:rsidR="00736314" w:rsidRPr="00A42EA8" w:rsidRDefault="00736314" w:rsidP="00C5408C">
            <w:pPr>
              <w:rPr>
                <w:sz w:val="16"/>
                <w:szCs w:val="16"/>
              </w:rPr>
            </w:pPr>
            <w:r w:rsidRPr="00A42EA8">
              <w:rPr>
                <w:sz w:val="16"/>
                <w:szCs w:val="16"/>
              </w:rPr>
              <w:t xml:space="preserve">Complex (tweemaal) </w:t>
            </w:r>
          </w:p>
          <w:p w14:paraId="0B4F91D0" w14:textId="77777777" w:rsidR="00736314" w:rsidRPr="00A42EA8" w:rsidRDefault="00736314" w:rsidP="00C5408C">
            <w:pPr>
              <w:rPr>
                <w:sz w:val="16"/>
                <w:szCs w:val="16"/>
              </w:rPr>
            </w:pPr>
            <w:r w:rsidRPr="00A42EA8">
              <w:rPr>
                <w:sz w:val="16"/>
                <w:szCs w:val="16"/>
              </w:rPr>
              <w:t xml:space="preserve">Omvangrijk </w:t>
            </w:r>
          </w:p>
        </w:tc>
        <w:tc>
          <w:tcPr>
            <w:tcW w:w="1435"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06997EB4" w14:textId="77777777" w:rsidR="00736314" w:rsidRPr="00A42EA8" w:rsidRDefault="00736314" w:rsidP="00C5408C">
            <w:pPr>
              <w:rPr>
                <w:sz w:val="16"/>
                <w:szCs w:val="16"/>
              </w:rPr>
            </w:pPr>
            <w:r w:rsidRPr="00A42EA8">
              <w:rPr>
                <w:sz w:val="16"/>
                <w:szCs w:val="16"/>
              </w:rPr>
              <w:t xml:space="preserve">Eenvoudig (een) </w:t>
            </w:r>
          </w:p>
        </w:tc>
        <w:tc>
          <w:tcPr>
            <w:tcW w:w="1422" w:type="dxa"/>
            <w:tcBorders>
              <w:top w:val="single" w:sz="8"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499E8453" w14:textId="007C3AE0" w:rsidR="00736314" w:rsidRPr="00A42EA8" w:rsidRDefault="00736314" w:rsidP="00C5408C">
            <w:pPr>
              <w:rPr>
                <w:sz w:val="16"/>
                <w:szCs w:val="16"/>
              </w:rPr>
            </w:pPr>
          </w:p>
        </w:tc>
      </w:tr>
    </w:tbl>
    <w:p w14:paraId="17A67EB4" w14:textId="77777777" w:rsidR="00736314" w:rsidRPr="00A42EA8" w:rsidRDefault="00736314" w:rsidP="00736314">
      <w:pPr>
        <w:rPr>
          <w:sz w:val="16"/>
          <w:szCs w:val="16"/>
        </w:rPr>
      </w:pPr>
    </w:p>
    <w:p w14:paraId="695778EF" w14:textId="77777777" w:rsidR="00736314" w:rsidRPr="00A42EA8" w:rsidRDefault="00736314" w:rsidP="00736314">
      <w:pPr>
        <w:rPr>
          <w:sz w:val="16"/>
          <w:szCs w:val="16"/>
        </w:rPr>
      </w:pPr>
    </w:p>
    <w:tbl>
      <w:tblPr>
        <w:tblW w:w="8649" w:type="dxa"/>
        <w:tblCellMar>
          <w:left w:w="0" w:type="dxa"/>
          <w:right w:w="0" w:type="dxa"/>
        </w:tblCellMar>
        <w:tblLook w:val="0420" w:firstRow="1" w:lastRow="0" w:firstColumn="0" w:lastColumn="0" w:noHBand="0" w:noVBand="1"/>
      </w:tblPr>
      <w:tblGrid>
        <w:gridCol w:w="8649"/>
      </w:tblGrid>
      <w:tr w:rsidR="00736314" w:rsidRPr="00A42EA8" w14:paraId="56BF4A5C" w14:textId="77777777" w:rsidTr="00736314">
        <w:trPr>
          <w:trHeight w:val="754"/>
        </w:trPr>
        <w:tc>
          <w:tcPr>
            <w:tcW w:w="8649" w:type="dxa"/>
            <w:tcBorders>
              <w:top w:val="single" w:sz="8" w:space="0" w:color="FFFFFF"/>
              <w:left w:val="single" w:sz="8" w:space="0" w:color="FFFFFF"/>
              <w:bottom w:val="single" w:sz="24" w:space="0" w:color="FFFFFF"/>
              <w:right w:val="single" w:sz="8" w:space="0" w:color="FFFFFF"/>
            </w:tcBorders>
            <w:shd w:val="clear" w:color="auto" w:fill="046F96"/>
            <w:tcMar>
              <w:top w:w="72" w:type="dxa"/>
              <w:left w:w="144" w:type="dxa"/>
              <w:bottom w:w="72" w:type="dxa"/>
              <w:right w:w="144" w:type="dxa"/>
            </w:tcMar>
            <w:hideMark/>
          </w:tcPr>
          <w:p w14:paraId="5BC755D8" w14:textId="77777777" w:rsidR="00736314" w:rsidRDefault="00736314" w:rsidP="00C5408C">
            <w:pPr>
              <w:rPr>
                <w:b/>
                <w:bCs/>
                <w:sz w:val="20"/>
                <w:szCs w:val="20"/>
              </w:rPr>
            </w:pPr>
            <w:r w:rsidRPr="00A42EA8">
              <w:rPr>
                <w:b/>
                <w:bCs/>
                <w:sz w:val="20"/>
                <w:szCs w:val="20"/>
              </w:rPr>
              <w:t xml:space="preserve">CONCLUSIE </w:t>
            </w:r>
          </w:p>
          <w:p w14:paraId="09352453" w14:textId="56C44100" w:rsidR="00736314" w:rsidRPr="00A42EA8" w:rsidRDefault="00736314" w:rsidP="00C5408C">
            <w:pPr>
              <w:rPr>
                <w:b/>
                <w:bCs/>
                <w:sz w:val="16"/>
                <w:szCs w:val="16"/>
              </w:rPr>
            </w:pPr>
            <w:r w:rsidRPr="00A42EA8">
              <w:rPr>
                <w:b/>
                <w:bCs/>
                <w:sz w:val="20"/>
                <w:szCs w:val="20"/>
              </w:rPr>
              <w:t xml:space="preserve">voor registratieobject </w:t>
            </w:r>
            <w:r w:rsidR="00F0235B">
              <w:rPr>
                <w:b/>
                <w:bCs/>
                <w:sz w:val="20"/>
                <w:szCs w:val="20"/>
              </w:rPr>
              <w:t>XXX</w:t>
            </w:r>
          </w:p>
        </w:tc>
      </w:tr>
      <w:tr w:rsidR="00736314" w:rsidRPr="00A42EA8" w14:paraId="74EB7FF2" w14:textId="77777777" w:rsidTr="00736314">
        <w:trPr>
          <w:trHeight w:val="1761"/>
        </w:trPr>
        <w:tc>
          <w:tcPr>
            <w:tcW w:w="8649" w:type="dxa"/>
            <w:tcBorders>
              <w:top w:val="single" w:sz="24" w:space="0" w:color="FFFFFF"/>
              <w:left w:val="single" w:sz="8" w:space="0" w:color="FFFFFF"/>
              <w:bottom w:val="single" w:sz="8" w:space="0" w:color="FFFFFF"/>
              <w:right w:val="single" w:sz="8" w:space="0" w:color="FFFFFF"/>
            </w:tcBorders>
            <w:shd w:val="clear" w:color="auto" w:fill="CBD5DD"/>
            <w:tcMar>
              <w:top w:w="72" w:type="dxa"/>
              <w:left w:w="144" w:type="dxa"/>
              <w:bottom w:w="72" w:type="dxa"/>
              <w:right w:w="144" w:type="dxa"/>
            </w:tcMar>
            <w:hideMark/>
          </w:tcPr>
          <w:p w14:paraId="03948CD5" w14:textId="77777777" w:rsidR="00736314" w:rsidRPr="00A42EA8" w:rsidRDefault="00736314" w:rsidP="00C5408C">
            <w:pPr>
              <w:rPr>
                <w:sz w:val="16"/>
                <w:szCs w:val="16"/>
              </w:rPr>
            </w:pPr>
            <w:r w:rsidRPr="00A42EA8">
              <w:rPr>
                <w:noProof/>
                <w:sz w:val="16"/>
                <w:szCs w:val="16"/>
              </w:rPr>
              <mc:AlternateContent>
                <mc:Choice Requires="wps">
                  <w:drawing>
                    <wp:anchor distT="0" distB="0" distL="114300" distR="114300" simplePos="0" relativeHeight="251660800" behindDoc="0" locked="0" layoutInCell="1" allowOverlap="1" wp14:anchorId="3784D28A" wp14:editId="4E0CFD8D">
                      <wp:simplePos x="0" y="0"/>
                      <wp:positionH relativeFrom="column">
                        <wp:posOffset>-1803</wp:posOffset>
                      </wp:positionH>
                      <wp:positionV relativeFrom="paragraph">
                        <wp:posOffset>7926</wp:posOffset>
                      </wp:positionV>
                      <wp:extent cx="5339562" cy="1062111"/>
                      <wp:effectExtent l="0" t="0" r="7620" b="5080"/>
                      <wp:wrapNone/>
                      <wp:docPr id="13" name="Tijdelijke aanduiding voor inhoud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5339562" cy="1062111"/>
                              </a:xfrm>
                              <a:prstGeom prst="rect">
                                <a:avLst/>
                              </a:prstGeom>
                              <a:noFill/>
                              <a:ln w="9525">
                                <a:noFill/>
                                <a:miter lim="800000"/>
                                <a:headEnd/>
                                <a:tailEnd/>
                              </a:ln>
                              <a:effectLst/>
                            </wps:spPr>
                            <wps:txbx>
                              <w:txbxContent>
                                <w:p w14:paraId="041157A6" w14:textId="10D14C17" w:rsidR="001E5633" w:rsidRPr="00FB7A41" w:rsidRDefault="001E5633" w:rsidP="00736314">
                                  <w:pPr>
                                    <w:ind w:left="708"/>
                                    <w:rPr>
                                      <w:rFonts w:eastAsia="Times New Roman"/>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4D28A" id="Tijdelijke aanduiding voor inhoud 2" o:spid="_x0000_s1026" style="position:absolute;margin-left:-.15pt;margin-top:.6pt;width:420.45pt;height:83.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" filled="f" stroked="f">
                      <o:lock v:ext="edit" grouping="t"/>
                      <v:textbox inset="0,0,0,0">
                        <w:txbxContent>
                          <w:p w14:paraId="041157A6" w14:textId="10D14C17" w:rsidR="001E5633" w:rsidRPr="00FB7A41" w:rsidRDefault="001E5633" w:rsidP="00736314">
                            <w:pPr>
                              <w:ind w:left="708"/>
                              <w:rPr>
                                <w:rFonts w:eastAsia="Times New Roman"/>
                              </w:rPr>
                            </w:pPr>
                          </w:p>
                        </w:txbxContent>
                      </v:textbox>
                    </v:rect>
                  </w:pict>
                </mc:Fallback>
              </mc:AlternateContent>
            </w:r>
          </w:p>
        </w:tc>
      </w:tr>
    </w:tbl>
    <w:p w14:paraId="0B32C8C6" w14:textId="77777777" w:rsidR="00736314" w:rsidRPr="00736314" w:rsidRDefault="00736314" w:rsidP="00736314">
      <w:pPr>
        <w:rPr>
          <w:b/>
          <w:bCs/>
        </w:rPr>
      </w:pPr>
    </w:p>
    <w:sectPr w:rsidR="00736314" w:rsidRPr="00736314" w:rsidSect="003039EA">
      <w:headerReference w:type="default" r:id="rId14"/>
      <w:pgSz w:w="11905" w:h="16837"/>
      <w:pgMar w:top="2574" w:right="2517" w:bottom="1083" w:left="2557" w:header="709" w:footer="709"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4DFEA" w14:textId="77777777" w:rsidR="001E5633" w:rsidRDefault="001E5633">
      <w:pPr>
        <w:spacing w:line="240" w:lineRule="auto"/>
      </w:pPr>
      <w:r>
        <w:separator/>
      </w:r>
    </w:p>
  </w:endnote>
  <w:endnote w:type="continuationSeparator" w:id="0">
    <w:p w14:paraId="13FC7CF5" w14:textId="77777777" w:rsidR="001E5633" w:rsidRDefault="001E56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C38DF" w14:textId="77777777" w:rsidR="001E5633" w:rsidRDefault="001E5633">
      <w:pPr>
        <w:spacing w:line="240" w:lineRule="auto"/>
      </w:pPr>
      <w:r>
        <w:separator/>
      </w:r>
    </w:p>
  </w:footnote>
  <w:footnote w:type="continuationSeparator" w:id="0">
    <w:p w14:paraId="4F9DA648" w14:textId="77777777" w:rsidR="001E5633" w:rsidRDefault="001E56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26E57" w14:textId="77777777" w:rsidR="001E5633" w:rsidRDefault="001E5633">
    <w:r>
      <w:rPr>
        <w:noProof/>
      </w:rPr>
      <mc:AlternateContent>
        <mc:Choice Requires="wps">
          <w:drawing>
            <wp:anchor distT="0" distB="0" distL="0" distR="0" simplePos="0" relativeHeight="251655168" behindDoc="0" locked="1" layoutInCell="1" allowOverlap="1" wp14:anchorId="50A2F7C5" wp14:editId="1708292B">
              <wp:simplePos x="0" y="0"/>
              <wp:positionH relativeFrom="page">
                <wp:posOffset>1616710</wp:posOffset>
              </wp:positionH>
              <wp:positionV relativeFrom="page">
                <wp:posOffset>3462655</wp:posOffset>
              </wp:positionV>
              <wp:extent cx="3599815" cy="1676400"/>
              <wp:effectExtent l="0" t="0" r="0" b="0"/>
              <wp:wrapNone/>
              <wp:docPr id="12" name="Datum en statu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815" cy="167640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50"/>
                            <w:gridCol w:w="4490"/>
                          </w:tblGrid>
                          <w:tr w:rsidR="001E5633" w14:paraId="1F772A75" w14:textId="77777777">
                            <w:trPr>
                              <w:trHeight w:val="480"/>
                            </w:trPr>
                            <w:tc>
                              <w:tcPr>
                                <w:tcW w:w="646" w:type="dxa"/>
                              </w:tcPr>
                              <w:p w14:paraId="398BE1DD" w14:textId="77777777" w:rsidR="001E5633" w:rsidRDefault="001E5633">
                                <w:r>
                                  <w:t xml:space="preserve">Versie </w:t>
                                </w:r>
                              </w:p>
                            </w:tc>
                            <w:tc>
                              <w:tcPr>
                                <w:tcW w:w="4490" w:type="dxa"/>
                              </w:tcPr>
                              <w:p w14:paraId="4664AE15" w14:textId="54C3C87B" w:rsidR="001E5633" w:rsidRDefault="001E5633">
                                <w:r>
                                  <w:t>0.6</w:t>
                                </w:r>
                              </w:p>
                            </w:tc>
                          </w:tr>
                          <w:tr w:rsidR="001E5633" w14:paraId="625CF923" w14:textId="77777777">
                            <w:trPr>
                              <w:trHeight w:val="238"/>
                            </w:trPr>
                            <w:tc>
                              <w:tcPr>
                                <w:tcW w:w="1150" w:type="dxa"/>
                              </w:tcPr>
                              <w:p w14:paraId="39A48147" w14:textId="77777777" w:rsidR="001E5633" w:rsidRDefault="001E5633"/>
                            </w:tc>
                            <w:tc>
                              <w:tcPr>
                                <w:tcW w:w="4490" w:type="dxa"/>
                              </w:tcPr>
                              <w:p w14:paraId="77005229" w14:textId="77777777" w:rsidR="001E5633" w:rsidRDefault="001E5633"/>
                            </w:tc>
                          </w:tr>
                          <w:tr w:rsidR="001E5633" w14:paraId="429CD426" w14:textId="77777777">
                            <w:trPr>
                              <w:trHeight w:val="238"/>
                            </w:trPr>
                            <w:tc>
                              <w:tcPr>
                                <w:tcW w:w="646" w:type="dxa"/>
                              </w:tcPr>
                              <w:p w14:paraId="23CE9280" w14:textId="77777777" w:rsidR="001E5633" w:rsidRDefault="001E5633"/>
                            </w:tc>
                            <w:tc>
                              <w:tcPr>
                                <w:tcW w:w="4000" w:type="dxa"/>
                              </w:tcPr>
                              <w:p w14:paraId="46D709B9" w14:textId="77777777" w:rsidR="001E5633" w:rsidRDefault="001E5633"/>
                            </w:tc>
                          </w:tr>
                          <w:tr w:rsidR="001E5633" w14:paraId="226A894B" w14:textId="77777777">
                            <w:trPr>
                              <w:trHeight w:val="238"/>
                            </w:trPr>
                            <w:tc>
                              <w:tcPr>
                                <w:tcW w:w="1150" w:type="dxa"/>
                              </w:tcPr>
                              <w:p w14:paraId="15839CC2" w14:textId="77777777" w:rsidR="001E5633" w:rsidRDefault="001E5633">
                                <w:r>
                                  <w:t>Datum</w:t>
                                </w:r>
                              </w:p>
                            </w:tc>
                            <w:tc>
                              <w:tcPr>
                                <w:tcW w:w="4490" w:type="dxa"/>
                              </w:tcPr>
                              <w:p w14:paraId="752187FA" w14:textId="6D5F95E3" w:rsidR="001E5633" w:rsidRDefault="001E5633">
                                <w:sdt>
                                  <w:sdtPr>
                                    <w:id w:val="-1411691845"/>
                                    <w:date w:fullDate="2020-05-01T00:00:00Z">
                                      <w:dateFormat w:val="d MMMM yyyy"/>
                                      <w:lid w:val="nl-NL"/>
                                      <w:storeMappedDataAs w:val="dateTime"/>
                                      <w:calendar w:val="gregorian"/>
                                    </w:date>
                                  </w:sdtPr>
                                  <w:sdtContent>
                                    <w:r>
                                      <w:t>1 mei 2020</w:t>
                                    </w:r>
                                  </w:sdtContent>
                                </w:sdt>
                              </w:p>
                            </w:tc>
                          </w:tr>
                          <w:tr w:rsidR="001E5633" w14:paraId="4B486E72" w14:textId="77777777">
                            <w:trPr>
                              <w:trHeight w:val="238"/>
                            </w:trPr>
                            <w:tc>
                              <w:tcPr>
                                <w:tcW w:w="1150" w:type="dxa"/>
                              </w:tcPr>
                              <w:p w14:paraId="6C21C54E" w14:textId="77777777" w:rsidR="001E5633" w:rsidRDefault="001E5633" w:rsidP="00D54A69">
                                <w:r>
                                  <w:t>Status Auteurs</w:t>
                                </w:r>
                              </w:p>
                              <w:p w14:paraId="669B30FA" w14:textId="77777777" w:rsidR="001E5633" w:rsidRDefault="001E5633" w:rsidP="00D54A69"/>
                              <w:p w14:paraId="6AB2D989" w14:textId="77777777" w:rsidR="001E5633" w:rsidRDefault="001E5633" w:rsidP="00D54A69">
                                <w:r>
                                  <w:t>Review</w:t>
                                </w:r>
                              </w:p>
                              <w:p w14:paraId="6A503A21" w14:textId="77777777" w:rsidR="001E5633" w:rsidRDefault="001E5633" w:rsidP="00D54A69"/>
                            </w:tc>
                            <w:tc>
                              <w:tcPr>
                                <w:tcW w:w="4490" w:type="dxa"/>
                              </w:tcPr>
                              <w:p w14:paraId="22D2EA44" w14:textId="06FC66A4" w:rsidR="001E5633" w:rsidRDefault="001E5633">
                                <w:r>
                                  <w:t>Concept</w:t>
                                </w:r>
                              </w:p>
                              <w:p w14:paraId="10720A39" w14:textId="6ECC28FF" w:rsidR="001E5633" w:rsidRDefault="001E5633" w:rsidP="00D54A69">
                                <w:r>
                                  <w:t>E. Simmelink, P. P. Kuiper, A. Vijverberg, I Fransen, R. Schipper</w:t>
                                </w:r>
                              </w:p>
                              <w:p w14:paraId="490F1133" w14:textId="6213AE36" w:rsidR="001E5633" w:rsidRDefault="001E5633" w:rsidP="00F33BBC">
                                <w:r>
                                  <w:t>R. Boot, F. Terpstra</w:t>
                                </w:r>
                              </w:p>
                              <w:p w14:paraId="2AD13267" w14:textId="77777777" w:rsidR="001E5633" w:rsidRDefault="001E5633">
                                <w:r>
                                  <w:t>Programmabureau Basisregistratie Ondergrond, ministerie van BZK</w:t>
                                </w:r>
                              </w:p>
                              <w:p w14:paraId="36875C08" w14:textId="77777777" w:rsidR="001E5633" w:rsidRDefault="001E5633" w:rsidP="00D54A69">
                                <w:pPr>
                                  <w:ind w:left="-1160"/>
                                </w:pPr>
                                <w:r>
                                  <w:t>Auateu</w:t>
                                </w:r>
                              </w:p>
                              <w:p w14:paraId="01E27BBF" w14:textId="77777777" w:rsidR="001E5633" w:rsidRDefault="001E5633"/>
                              <w:p w14:paraId="68B203E2" w14:textId="77777777" w:rsidR="001E5633" w:rsidRDefault="001E5633"/>
                              <w:p w14:paraId="104BE979" w14:textId="77777777" w:rsidR="001E5633" w:rsidRDefault="001E5633"/>
                            </w:tc>
                          </w:tr>
                        </w:tbl>
                        <w:p w14:paraId="34C1DAB0" w14:textId="77777777" w:rsidR="001E5633" w:rsidRDefault="001E5633"/>
                      </w:txbxContent>
                    </wps:txbx>
                    <wps:bodyPr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0A2F7C5" id="_x0000_t202" coordsize="21600,21600" o:spt="202" path="m,l,21600r21600,l21600,xe">
              <v:stroke joinstyle="miter"/>
              <v:path gradientshapeok="t" o:connecttype="rect"/>
            </v:shapetype>
            <v:shape id="Datum en status" o:spid="_x0000_s1027" type="#_x0000_t202" style="position:absolute;margin-left:127.3pt;margin-top:272.65pt;width:283.45pt;height:132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50"/>
                      <w:gridCol w:w="4490"/>
                    </w:tblGrid>
                    <w:tr w:rsidR="001E5633" w14:paraId="1F772A75" w14:textId="77777777">
                      <w:trPr>
                        <w:trHeight w:val="480"/>
                      </w:trPr>
                      <w:tc>
                        <w:tcPr>
                          <w:tcW w:w="646" w:type="dxa"/>
                        </w:tcPr>
                        <w:p w14:paraId="398BE1DD" w14:textId="77777777" w:rsidR="001E5633" w:rsidRDefault="001E5633">
                          <w:r>
                            <w:t xml:space="preserve">Versie </w:t>
                          </w:r>
                        </w:p>
                      </w:tc>
                      <w:tc>
                        <w:tcPr>
                          <w:tcW w:w="4490" w:type="dxa"/>
                        </w:tcPr>
                        <w:p w14:paraId="4664AE15" w14:textId="54C3C87B" w:rsidR="001E5633" w:rsidRDefault="001E5633">
                          <w:r>
                            <w:t>0.6</w:t>
                          </w:r>
                        </w:p>
                      </w:tc>
                    </w:tr>
                    <w:tr w:rsidR="001E5633" w14:paraId="625CF923" w14:textId="77777777">
                      <w:trPr>
                        <w:trHeight w:val="238"/>
                      </w:trPr>
                      <w:tc>
                        <w:tcPr>
                          <w:tcW w:w="1150" w:type="dxa"/>
                        </w:tcPr>
                        <w:p w14:paraId="39A48147" w14:textId="77777777" w:rsidR="001E5633" w:rsidRDefault="001E5633"/>
                      </w:tc>
                      <w:tc>
                        <w:tcPr>
                          <w:tcW w:w="4490" w:type="dxa"/>
                        </w:tcPr>
                        <w:p w14:paraId="77005229" w14:textId="77777777" w:rsidR="001E5633" w:rsidRDefault="001E5633"/>
                      </w:tc>
                    </w:tr>
                    <w:tr w:rsidR="001E5633" w14:paraId="429CD426" w14:textId="77777777">
                      <w:trPr>
                        <w:trHeight w:val="238"/>
                      </w:trPr>
                      <w:tc>
                        <w:tcPr>
                          <w:tcW w:w="646" w:type="dxa"/>
                        </w:tcPr>
                        <w:p w14:paraId="23CE9280" w14:textId="77777777" w:rsidR="001E5633" w:rsidRDefault="001E5633"/>
                      </w:tc>
                      <w:tc>
                        <w:tcPr>
                          <w:tcW w:w="4000" w:type="dxa"/>
                        </w:tcPr>
                        <w:p w14:paraId="46D709B9" w14:textId="77777777" w:rsidR="001E5633" w:rsidRDefault="001E5633"/>
                      </w:tc>
                    </w:tr>
                    <w:tr w:rsidR="001E5633" w14:paraId="226A894B" w14:textId="77777777">
                      <w:trPr>
                        <w:trHeight w:val="238"/>
                      </w:trPr>
                      <w:tc>
                        <w:tcPr>
                          <w:tcW w:w="1150" w:type="dxa"/>
                        </w:tcPr>
                        <w:p w14:paraId="15839CC2" w14:textId="77777777" w:rsidR="001E5633" w:rsidRDefault="001E5633">
                          <w:r>
                            <w:t>Datum</w:t>
                          </w:r>
                        </w:p>
                      </w:tc>
                      <w:tc>
                        <w:tcPr>
                          <w:tcW w:w="4490" w:type="dxa"/>
                        </w:tcPr>
                        <w:p w14:paraId="752187FA" w14:textId="6D5F95E3" w:rsidR="001E5633" w:rsidRDefault="001E5633">
                          <w:sdt>
                            <w:sdtPr>
                              <w:id w:val="-1411691845"/>
                              <w:date w:fullDate="2020-05-01T00:00:00Z">
                                <w:dateFormat w:val="d MMMM yyyy"/>
                                <w:lid w:val="nl-NL"/>
                                <w:storeMappedDataAs w:val="dateTime"/>
                                <w:calendar w:val="gregorian"/>
                              </w:date>
                            </w:sdtPr>
                            <w:sdtContent>
                              <w:r>
                                <w:t>1 mei 2020</w:t>
                              </w:r>
                            </w:sdtContent>
                          </w:sdt>
                        </w:p>
                      </w:tc>
                    </w:tr>
                    <w:tr w:rsidR="001E5633" w14:paraId="4B486E72" w14:textId="77777777">
                      <w:trPr>
                        <w:trHeight w:val="238"/>
                      </w:trPr>
                      <w:tc>
                        <w:tcPr>
                          <w:tcW w:w="1150" w:type="dxa"/>
                        </w:tcPr>
                        <w:p w14:paraId="6C21C54E" w14:textId="77777777" w:rsidR="001E5633" w:rsidRDefault="001E5633" w:rsidP="00D54A69">
                          <w:r>
                            <w:t>Status Auteurs</w:t>
                          </w:r>
                        </w:p>
                        <w:p w14:paraId="669B30FA" w14:textId="77777777" w:rsidR="001E5633" w:rsidRDefault="001E5633" w:rsidP="00D54A69"/>
                        <w:p w14:paraId="6AB2D989" w14:textId="77777777" w:rsidR="001E5633" w:rsidRDefault="001E5633" w:rsidP="00D54A69">
                          <w:r>
                            <w:t>Review</w:t>
                          </w:r>
                        </w:p>
                        <w:p w14:paraId="6A503A21" w14:textId="77777777" w:rsidR="001E5633" w:rsidRDefault="001E5633" w:rsidP="00D54A69"/>
                      </w:tc>
                      <w:tc>
                        <w:tcPr>
                          <w:tcW w:w="4490" w:type="dxa"/>
                        </w:tcPr>
                        <w:p w14:paraId="22D2EA44" w14:textId="06FC66A4" w:rsidR="001E5633" w:rsidRDefault="001E5633">
                          <w:r>
                            <w:t>Concept</w:t>
                          </w:r>
                        </w:p>
                        <w:p w14:paraId="10720A39" w14:textId="6ECC28FF" w:rsidR="001E5633" w:rsidRDefault="001E5633" w:rsidP="00D54A69">
                          <w:r>
                            <w:t>E. Simmelink, P. P. Kuiper, A. Vijverberg, I Fransen, R. Schipper</w:t>
                          </w:r>
                        </w:p>
                        <w:p w14:paraId="490F1133" w14:textId="6213AE36" w:rsidR="001E5633" w:rsidRDefault="001E5633" w:rsidP="00F33BBC">
                          <w:r>
                            <w:t>R. Boot, F. Terpstra</w:t>
                          </w:r>
                        </w:p>
                        <w:p w14:paraId="2AD13267" w14:textId="77777777" w:rsidR="001E5633" w:rsidRDefault="001E5633">
                          <w:r>
                            <w:t>Programmabureau Basisregistratie Ondergrond, ministerie van BZK</w:t>
                          </w:r>
                        </w:p>
                        <w:p w14:paraId="36875C08" w14:textId="77777777" w:rsidR="001E5633" w:rsidRDefault="001E5633" w:rsidP="00D54A69">
                          <w:pPr>
                            <w:ind w:left="-1160"/>
                          </w:pPr>
                          <w:r>
                            <w:t>Auateu</w:t>
                          </w:r>
                        </w:p>
                        <w:p w14:paraId="01E27BBF" w14:textId="77777777" w:rsidR="001E5633" w:rsidRDefault="001E5633"/>
                        <w:p w14:paraId="68B203E2" w14:textId="77777777" w:rsidR="001E5633" w:rsidRDefault="001E5633"/>
                        <w:p w14:paraId="104BE979" w14:textId="77777777" w:rsidR="001E5633" w:rsidRDefault="001E5633"/>
                      </w:tc>
                    </w:tr>
                  </w:tbl>
                  <w:p w14:paraId="34C1DAB0" w14:textId="77777777" w:rsidR="001E5633" w:rsidRDefault="001E5633"/>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F201FFA" wp14:editId="7E778CFD">
              <wp:simplePos x="0" y="0"/>
              <wp:positionH relativeFrom="page">
                <wp:posOffset>1619885</wp:posOffset>
              </wp:positionH>
              <wp:positionV relativeFrom="page">
                <wp:posOffset>2707005</wp:posOffset>
              </wp:positionV>
              <wp:extent cx="3527425" cy="417195"/>
              <wp:effectExtent l="0" t="0" r="0" b="0"/>
              <wp:wrapNone/>
              <wp:docPr id="11" name="Titel en subtite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7425" cy="417195"/>
                      </a:xfrm>
                      <a:prstGeom prst="rect">
                        <a:avLst/>
                      </a:prstGeom>
                      <a:noFill/>
                    </wps:spPr>
                    <wps:txbx>
                      <w:txbxContent>
                        <w:p w14:paraId="7C093752" w14:textId="6FBEB880" w:rsidR="001E5633" w:rsidRDefault="001E5633">
                          <w:pPr>
                            <w:pStyle w:val="StandaardVerdana12"/>
                          </w:pPr>
                          <w:r>
                            <w:t>Scopedocument Domein Grondwatergebruik (GU)</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F201FFA" id="Titel en subtitel" o:spid="_x0000_s1028" type="#_x0000_t202" style="position:absolute;margin-left:127.55pt;margin-top:213.15pt;width:277.75pt;height:32.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" filled="f" stroked="f">
              <v:textbox inset="0,0,0,0">
                <w:txbxContent>
                  <w:p w14:paraId="7C093752" w14:textId="6FBEB880" w:rsidR="001E5633" w:rsidRDefault="001E5633">
                    <w:pPr>
                      <w:pStyle w:val="StandaardVerdana12"/>
                    </w:pPr>
                    <w:r>
                      <w:t>Scopedocument Domein Grondwatergebruik (GU)</w:t>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B68B793" wp14:editId="0B577160">
              <wp:simplePos x="0" y="0"/>
              <wp:positionH relativeFrom="page">
                <wp:posOffset>3542030</wp:posOffset>
              </wp:positionH>
              <wp:positionV relativeFrom="page">
                <wp:posOffset>0</wp:posOffset>
              </wp:positionV>
              <wp:extent cx="467995" cy="1583690"/>
              <wp:effectExtent l="0" t="0" r="0" b="0"/>
              <wp:wrapNone/>
              <wp:docPr id="4" name="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690"/>
                      </a:xfrm>
                      <a:prstGeom prst="rect">
                        <a:avLst/>
                      </a:prstGeom>
                      <a:noFill/>
                    </wps:spPr>
                    <wps:txbx>
                      <w:txbxContent>
                        <w:p w14:paraId="6FE700CF" w14:textId="77777777" w:rsidR="001E5633" w:rsidRDefault="001E5633">
                          <w:pPr>
                            <w:spacing w:line="240" w:lineRule="auto"/>
                          </w:pPr>
                          <w:r>
                            <w:rPr>
                              <w:noProof/>
                            </w:rPr>
                            <w:drawing>
                              <wp:inline distT="0" distB="0" distL="0" distR="0" wp14:anchorId="74F10AD6" wp14:editId="5E39BB23">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B68B793" id="Logo" o:spid="_x0000_s1029" type="#_x0000_t202" style="position:absolute;margin-left:278.9pt;margin-top:0;width:36.85pt;height:124.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" filled="f" stroked="f">
              <v:textbox inset="0,0,0,0">
                <w:txbxContent>
                  <w:p w14:paraId="6FE700CF" w14:textId="77777777" w:rsidR="001E5633" w:rsidRDefault="001E5633">
                    <w:pPr>
                      <w:spacing w:line="240" w:lineRule="auto"/>
                    </w:pPr>
                    <w:r>
                      <w:rPr>
                        <w:noProof/>
                      </w:rPr>
                      <w:drawing>
                        <wp:inline distT="0" distB="0" distL="0" distR="0" wp14:anchorId="74F10AD6" wp14:editId="5E39BB23">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4A523BA" wp14:editId="3E5864B9">
              <wp:simplePos x="0" y="0"/>
              <wp:positionH relativeFrom="page">
                <wp:posOffset>4010025</wp:posOffset>
              </wp:positionH>
              <wp:positionV relativeFrom="page">
                <wp:posOffset>0</wp:posOffset>
              </wp:positionV>
              <wp:extent cx="2332355" cy="1579880"/>
              <wp:effectExtent l="0" t="0" r="0" b="0"/>
              <wp:wrapNone/>
              <wp:docPr id="6" name="Woordme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2355" cy="1579880"/>
                      </a:xfrm>
                      <a:prstGeom prst="rect">
                        <a:avLst/>
                      </a:prstGeom>
                      <a:noFill/>
                    </wps:spPr>
                    <wps:txbx>
                      <w:txbxContent>
                        <w:p w14:paraId="67A4CFDA" w14:textId="77777777" w:rsidR="001E5633" w:rsidRDefault="001E5633">
                          <w:pPr>
                            <w:spacing w:line="240" w:lineRule="auto"/>
                          </w:pPr>
                          <w:r>
                            <w:rPr>
                              <w:noProof/>
                            </w:rPr>
                            <w:drawing>
                              <wp:inline distT="0" distB="0" distL="0" distR="0" wp14:anchorId="67CD103E" wp14:editId="40F51542">
                                <wp:extent cx="2332355" cy="1577680"/>
                                <wp:effectExtent l="0" t="0" r="0" b="0"/>
                                <wp:docPr id="7" name="BZK_standaard"/>
                                <wp:cNvGraphicFramePr/>
                                <a:graphic xmlns:a="http://schemas.openxmlformats.org/drawingml/2006/main">
                                  <a:graphicData uri="http://schemas.openxmlformats.org/drawingml/2006/picture">
                                    <pic:pic xmlns:pic="http://schemas.openxmlformats.org/drawingml/2006/picture">
                                      <pic:nvPicPr>
                                        <pic:cNvPr id="7" name="BZK_standaard"/>
                                        <pic:cNvPicPr/>
                                      </pic:nvPicPr>
                                      <pic:blipFill>
                                        <a:blip r:embed="rId2"/>
                                        <a:stretch>
                                          <a:fillRect/>
                                        </a:stretch>
                                      </pic:blipFill>
                                      <pic:spPr bwMode="auto">
                                        <a:xfrm>
                                          <a:off x="0" y="0"/>
                                          <a:ext cx="2332355" cy="1577680"/>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4A523BA" id="Woordmerk" o:spid="_x0000_s1030" type="#_x0000_t202" style="position:absolute;margin-left:315.75pt;margin-top:0;width:183.65pt;height:124.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" filled="f" stroked="f">
              <v:textbox inset="0,0,0,0">
                <w:txbxContent>
                  <w:p w14:paraId="67A4CFDA" w14:textId="77777777" w:rsidR="001E5633" w:rsidRDefault="001E5633">
                    <w:pPr>
                      <w:spacing w:line="240" w:lineRule="auto"/>
                    </w:pPr>
                    <w:r>
                      <w:rPr>
                        <w:noProof/>
                      </w:rPr>
                      <w:drawing>
                        <wp:inline distT="0" distB="0" distL="0" distR="0" wp14:anchorId="67CD103E" wp14:editId="40F51542">
                          <wp:extent cx="2332355" cy="1577680"/>
                          <wp:effectExtent l="0" t="0" r="0" b="0"/>
                          <wp:docPr id="7" name="BZK_standaard"/>
                          <wp:cNvGraphicFramePr/>
                          <a:graphic xmlns:a="http://schemas.openxmlformats.org/drawingml/2006/main">
                            <a:graphicData uri="http://schemas.openxmlformats.org/drawingml/2006/picture">
                              <pic:pic xmlns:pic="http://schemas.openxmlformats.org/drawingml/2006/picture">
                                <pic:nvPicPr>
                                  <pic:cNvPr id="7" name="BZK_standaard"/>
                                  <pic:cNvPicPr/>
                                </pic:nvPicPr>
                                <pic:blipFill>
                                  <a:blip r:embed="rId2"/>
                                  <a:stretch>
                                    <a:fillRect/>
                                  </a:stretch>
                                </pic:blipFill>
                                <pic:spPr bwMode="auto">
                                  <a:xfrm>
                                    <a:off x="0" y="0"/>
                                    <a:ext cx="2332355" cy="1577680"/>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B6D5" w14:textId="77777777" w:rsidR="001E5633" w:rsidRDefault="001E5633">
    <w:r>
      <w:rPr>
        <w:noProof/>
      </w:rPr>
      <mc:AlternateContent>
        <mc:Choice Requires="wps">
          <w:drawing>
            <wp:anchor distT="0" distB="0" distL="0" distR="0" simplePos="0" relativeHeight="251655680" behindDoc="0" locked="1" layoutInCell="1" allowOverlap="1" wp14:anchorId="7B5ED631" wp14:editId="004C035A">
              <wp:simplePos x="0" y="0"/>
              <wp:positionH relativeFrom="page">
                <wp:posOffset>1619885</wp:posOffset>
              </wp:positionH>
              <wp:positionV relativeFrom="page">
                <wp:posOffset>248285</wp:posOffset>
              </wp:positionV>
              <wp:extent cx="4857750" cy="266700"/>
              <wp:effectExtent l="0" t="0" r="0" b="0"/>
              <wp:wrapNone/>
              <wp:docPr id="8" name="Koptekst Rapport p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7750" cy="266700"/>
                      </a:xfrm>
                      <a:prstGeom prst="rect">
                        <a:avLst/>
                      </a:prstGeom>
                      <a:noFill/>
                    </wps:spPr>
                    <wps:txbx>
                      <w:txbxContent>
                        <w:p w14:paraId="4006E3F6" w14:textId="39CF08C8" w:rsidR="001E5633" w:rsidRDefault="001E5633">
                          <w:pPr>
                            <w:pStyle w:val="Verdana65"/>
                          </w:pPr>
                          <w:r>
                            <w:t xml:space="preserve">| </w:t>
                          </w:r>
                          <w:r w:rsidR="00EC1F17">
                            <w:t>concept</w:t>
                          </w:r>
                          <w:r>
                            <w:t xml:space="preserve"> | Scopedocument Grondwater</w:t>
                          </w:r>
                          <w:r w:rsidR="00EC1F17">
                            <w:t>gebruik 0.6</w:t>
                          </w:r>
                          <w:r>
                            <w:t xml:space="preserve"> | </w:t>
                          </w:r>
                          <w:sdt>
                            <w:sdtPr>
                              <w:id w:val="858776164"/>
                              <w:date w:fullDate="2020-05-01T00:00:00Z">
                                <w:dateFormat w:val="d MMMM yyyy"/>
                                <w:lid w:val="nl-NL"/>
                                <w:storeMappedDataAs w:val="dateTime"/>
                                <w:calendar w:val="gregorian"/>
                              </w:date>
                            </w:sdtPr>
                            <w:sdtContent>
                              <w:r w:rsidR="00EC1F17">
                                <w:t>1 mei 2020</w:t>
                              </w:r>
                            </w:sdtContent>
                          </w:sdt>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7B5ED631" id="_x0000_t202" coordsize="21600,21600" o:spt="202" path="m,l,21600r21600,l21600,xe">
              <v:stroke joinstyle="miter"/>
              <v:path gradientshapeok="t" o:connecttype="rect"/>
            </v:shapetype>
            <v:shape id="Koptekst Rapport p2" o:spid="_x0000_s1031" type="#_x0000_t202" style="position:absolute;margin-left:127.55pt;margin-top:19.55pt;width:382.5pt;height:2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" filled="f" stroked="f">
              <v:textbox inset="0,0,0,0">
                <w:txbxContent>
                  <w:p w14:paraId="4006E3F6" w14:textId="39CF08C8" w:rsidR="001E5633" w:rsidRDefault="001E5633">
                    <w:pPr>
                      <w:pStyle w:val="Verdana65"/>
                    </w:pPr>
                    <w:r>
                      <w:t xml:space="preserve">| </w:t>
                    </w:r>
                    <w:r w:rsidR="00EC1F17">
                      <w:t>concept</w:t>
                    </w:r>
                    <w:r>
                      <w:t xml:space="preserve"> | Scopedocument Grondwater</w:t>
                    </w:r>
                    <w:r w:rsidR="00EC1F17">
                      <w:t>gebruik 0.6</w:t>
                    </w:r>
                    <w:r>
                      <w:t xml:space="preserve"> | </w:t>
                    </w:r>
                    <w:sdt>
                      <w:sdtPr>
                        <w:id w:val="858776164"/>
                        <w:date w:fullDate="2020-05-01T00:00:00Z">
                          <w:dateFormat w:val="d MMMM yyyy"/>
                          <w:lid w:val="nl-NL"/>
                          <w:storeMappedDataAs w:val="dateTime"/>
                          <w:calendar w:val="gregorian"/>
                        </w:date>
                      </w:sdtPr>
                      <w:sdtContent>
                        <w:r w:rsidR="00EC1F17">
                          <w:t>1 mei 2020</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F293662" wp14:editId="6B1851A0">
              <wp:simplePos x="0" y="0"/>
              <wp:positionH relativeFrom="page">
                <wp:posOffset>1619885</wp:posOffset>
              </wp:positionH>
              <wp:positionV relativeFrom="page">
                <wp:posOffset>10223500</wp:posOffset>
              </wp:positionV>
              <wp:extent cx="3599815" cy="161925"/>
              <wp:effectExtent l="0" t="0" r="0" b="0"/>
              <wp:wrapNone/>
              <wp:docPr id="9" name="Region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815" cy="161925"/>
                      </a:xfrm>
                      <a:prstGeom prst="rect">
                        <a:avLst/>
                      </a:prstGeom>
                      <a:noFill/>
                    </wps:spPr>
                    <wps:txbx>
                      <w:txbxContent>
                        <w:p w14:paraId="136D6E87" w14:textId="77777777" w:rsidR="001E5633" w:rsidRDefault="001E5633"/>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F293662" id="Region 9" o:spid="_x0000_s1032" type="#_x0000_t202" style="position:absolute;margin-left:127.55pt;margin-top:805pt;width:283.45pt;height:12.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" filled="f" stroked="f">
              <v:textbox inset="0,0,0,0">
                <w:txbxContent>
                  <w:p w14:paraId="136D6E87" w14:textId="77777777" w:rsidR="001E5633" w:rsidRDefault="001E5633"/>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F00514D" wp14:editId="6A3BB948">
              <wp:simplePos x="0" y="0"/>
              <wp:positionH relativeFrom="page">
                <wp:posOffset>5219700</wp:posOffset>
              </wp:positionH>
              <wp:positionV relativeFrom="page">
                <wp:posOffset>10223500</wp:posOffset>
              </wp:positionV>
              <wp:extent cx="881380" cy="161925"/>
              <wp:effectExtent l="0" t="0" r="0" b="0"/>
              <wp:wrapNone/>
              <wp:docPr id="10" name="Region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1380" cy="161925"/>
                      </a:xfrm>
                      <a:prstGeom prst="rect">
                        <a:avLst/>
                      </a:prstGeom>
                      <a:noFill/>
                    </wps:spPr>
                    <wps:txbx>
                      <w:txbxContent>
                        <w:p w14:paraId="762238C5" w14:textId="77777777" w:rsidR="001E5633" w:rsidRDefault="001E5633">
                          <w:pPr>
                            <w:pStyle w:val="Referentiegegevens"/>
                          </w:pPr>
                          <w:r>
                            <w:t xml:space="preserve">Pagina </w:t>
                          </w:r>
                          <w:r>
                            <w:fldChar w:fldCharType="begin"/>
                          </w:r>
                          <w:r>
                            <w:instrText>PAGE</w:instrText>
                          </w:r>
                          <w:r>
                            <w:fldChar w:fldCharType="separate"/>
                          </w:r>
                          <w:r>
                            <w:rPr>
                              <w:noProof/>
                            </w:rPr>
                            <w:t>34</w:t>
                          </w:r>
                          <w:r>
                            <w:fldChar w:fldCharType="end"/>
                          </w:r>
                          <w:r>
                            <w:t xml:space="preserve"> van </w:t>
                          </w:r>
                          <w:r>
                            <w:fldChar w:fldCharType="begin"/>
                          </w:r>
                          <w:r>
                            <w:instrText>NUMPAGES</w:instrText>
                          </w:r>
                          <w:r>
                            <w:fldChar w:fldCharType="separate"/>
                          </w:r>
                          <w:r>
                            <w:rPr>
                              <w:noProof/>
                            </w:rPr>
                            <w:t>36</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F00514D" id="Region 10" o:spid="_x0000_s1033" type="#_x0000_t202" style="position:absolute;margin-left:411pt;margin-top:805pt;width:69.4pt;height:12.7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" filled="f" stroked="f">
              <v:textbox inset="0,0,0,0">
                <w:txbxContent>
                  <w:p w14:paraId="762238C5" w14:textId="77777777" w:rsidR="001E5633" w:rsidRDefault="001E5633">
                    <w:pPr>
                      <w:pStyle w:val="Referentiegegevens"/>
                    </w:pPr>
                    <w:r>
                      <w:t xml:space="preserve">Pagina </w:t>
                    </w:r>
                    <w:r>
                      <w:fldChar w:fldCharType="begin"/>
                    </w:r>
                    <w:r>
                      <w:instrText>PAGE</w:instrText>
                    </w:r>
                    <w:r>
                      <w:fldChar w:fldCharType="separate"/>
                    </w:r>
                    <w:r>
                      <w:rPr>
                        <w:noProof/>
                      </w:rPr>
                      <w:t>34</w:t>
                    </w:r>
                    <w:r>
                      <w:fldChar w:fldCharType="end"/>
                    </w:r>
                    <w:r>
                      <w:t xml:space="preserve"> van </w:t>
                    </w:r>
                    <w:r>
                      <w:fldChar w:fldCharType="begin"/>
                    </w:r>
                    <w:r>
                      <w:instrText>NUMPAGES</w:instrText>
                    </w:r>
                    <w:r>
                      <w:fldChar w:fldCharType="separate"/>
                    </w:r>
                    <w:r>
                      <w:rPr>
                        <w:noProof/>
                      </w:rPr>
                      <w:t>36</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3C6226"/>
    <w:multiLevelType w:val="multilevel"/>
    <w:tmpl w:val="8ACA1196"/>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A24FC5"/>
    <w:multiLevelType w:val="multilevel"/>
    <w:tmpl w:val="C123FD68"/>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93A02EB"/>
    <w:multiLevelType w:val="multilevel"/>
    <w:tmpl w:val="257E9B8E"/>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AC7DCB0"/>
    <w:multiLevelType w:val="multilevel"/>
    <w:tmpl w:val="AAB708C1"/>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199ED0E"/>
    <w:multiLevelType w:val="multilevel"/>
    <w:tmpl w:val="459543D6"/>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73C5D41"/>
    <w:multiLevelType w:val="multilevel"/>
    <w:tmpl w:val="495562B3"/>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8527605"/>
    <w:multiLevelType w:val="multilevel"/>
    <w:tmpl w:val="F37DD4A3"/>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B3DA955"/>
    <w:multiLevelType w:val="multilevel"/>
    <w:tmpl w:val="B33E19B1"/>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B6B8339"/>
    <w:multiLevelType w:val="multilevel"/>
    <w:tmpl w:val="0CA78D04"/>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434A8B"/>
    <w:multiLevelType w:val="hybridMultilevel"/>
    <w:tmpl w:val="D12627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A4935FA"/>
    <w:multiLevelType w:val="hybridMultilevel"/>
    <w:tmpl w:val="FA682D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D0663E1"/>
    <w:multiLevelType w:val="hybridMultilevel"/>
    <w:tmpl w:val="F260EF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E074DB3"/>
    <w:multiLevelType w:val="multilevel"/>
    <w:tmpl w:val="CF459368"/>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0BFA80"/>
    <w:multiLevelType w:val="multilevel"/>
    <w:tmpl w:val="C676C73B"/>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0B5AF4"/>
    <w:multiLevelType w:val="hybridMultilevel"/>
    <w:tmpl w:val="F78C5124"/>
    <w:lvl w:ilvl="0" w:tplc="0413000F">
      <w:start w:val="1"/>
      <w:numFmt w:val="decimal"/>
      <w:lvlText w:val="%1."/>
      <w:lvlJc w:val="left"/>
      <w:pPr>
        <w:ind w:left="360" w:hanging="360"/>
      </w:p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328641A"/>
    <w:multiLevelType w:val="multilevel"/>
    <w:tmpl w:val="E8181666"/>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673941"/>
    <w:multiLevelType w:val="hybridMultilevel"/>
    <w:tmpl w:val="FCEEBD22"/>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7" w15:restartNumberingAfterBreak="0">
    <w:nsid w:val="177B0947"/>
    <w:multiLevelType w:val="hybridMultilevel"/>
    <w:tmpl w:val="2D4E88B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8" w15:restartNumberingAfterBreak="0">
    <w:nsid w:val="1905019F"/>
    <w:multiLevelType w:val="hybridMultilevel"/>
    <w:tmpl w:val="B2304A6E"/>
    <w:lvl w:ilvl="0" w:tplc="B680E718">
      <w:start w:val="1"/>
      <w:numFmt w:val="lowerLetter"/>
      <w:lvlText w:val="%1)"/>
      <w:lvlJc w:val="left"/>
      <w:pPr>
        <w:tabs>
          <w:tab w:val="num" w:pos="720"/>
        </w:tabs>
        <w:ind w:left="720" w:hanging="360"/>
      </w:pPr>
    </w:lvl>
    <w:lvl w:ilvl="1" w:tplc="1CC61A3C" w:tentative="1">
      <w:start w:val="1"/>
      <w:numFmt w:val="lowerLetter"/>
      <w:lvlText w:val="%2)"/>
      <w:lvlJc w:val="left"/>
      <w:pPr>
        <w:tabs>
          <w:tab w:val="num" w:pos="1440"/>
        </w:tabs>
        <w:ind w:left="1440" w:hanging="360"/>
      </w:pPr>
    </w:lvl>
    <w:lvl w:ilvl="2" w:tplc="DFF09434" w:tentative="1">
      <w:start w:val="1"/>
      <w:numFmt w:val="lowerLetter"/>
      <w:lvlText w:val="%3)"/>
      <w:lvlJc w:val="left"/>
      <w:pPr>
        <w:tabs>
          <w:tab w:val="num" w:pos="2160"/>
        </w:tabs>
        <w:ind w:left="2160" w:hanging="360"/>
      </w:pPr>
    </w:lvl>
    <w:lvl w:ilvl="3" w:tplc="3D821F36" w:tentative="1">
      <w:start w:val="1"/>
      <w:numFmt w:val="lowerLetter"/>
      <w:lvlText w:val="%4)"/>
      <w:lvlJc w:val="left"/>
      <w:pPr>
        <w:tabs>
          <w:tab w:val="num" w:pos="2880"/>
        </w:tabs>
        <w:ind w:left="2880" w:hanging="360"/>
      </w:pPr>
    </w:lvl>
    <w:lvl w:ilvl="4" w:tplc="E5D49D14" w:tentative="1">
      <w:start w:val="1"/>
      <w:numFmt w:val="lowerLetter"/>
      <w:lvlText w:val="%5)"/>
      <w:lvlJc w:val="left"/>
      <w:pPr>
        <w:tabs>
          <w:tab w:val="num" w:pos="3600"/>
        </w:tabs>
        <w:ind w:left="3600" w:hanging="360"/>
      </w:pPr>
    </w:lvl>
    <w:lvl w:ilvl="5" w:tplc="911EBEDE" w:tentative="1">
      <w:start w:val="1"/>
      <w:numFmt w:val="lowerLetter"/>
      <w:lvlText w:val="%6)"/>
      <w:lvlJc w:val="left"/>
      <w:pPr>
        <w:tabs>
          <w:tab w:val="num" w:pos="4320"/>
        </w:tabs>
        <w:ind w:left="4320" w:hanging="360"/>
      </w:pPr>
    </w:lvl>
    <w:lvl w:ilvl="6" w:tplc="E30AA90A" w:tentative="1">
      <w:start w:val="1"/>
      <w:numFmt w:val="lowerLetter"/>
      <w:lvlText w:val="%7)"/>
      <w:lvlJc w:val="left"/>
      <w:pPr>
        <w:tabs>
          <w:tab w:val="num" w:pos="5040"/>
        </w:tabs>
        <w:ind w:left="5040" w:hanging="360"/>
      </w:pPr>
    </w:lvl>
    <w:lvl w:ilvl="7" w:tplc="7FF42EBC" w:tentative="1">
      <w:start w:val="1"/>
      <w:numFmt w:val="lowerLetter"/>
      <w:lvlText w:val="%8)"/>
      <w:lvlJc w:val="left"/>
      <w:pPr>
        <w:tabs>
          <w:tab w:val="num" w:pos="5760"/>
        </w:tabs>
        <w:ind w:left="5760" w:hanging="360"/>
      </w:pPr>
    </w:lvl>
    <w:lvl w:ilvl="8" w:tplc="6A22277C" w:tentative="1">
      <w:start w:val="1"/>
      <w:numFmt w:val="lowerLetter"/>
      <w:lvlText w:val="%9)"/>
      <w:lvlJc w:val="left"/>
      <w:pPr>
        <w:tabs>
          <w:tab w:val="num" w:pos="6480"/>
        </w:tabs>
        <w:ind w:left="6480" w:hanging="360"/>
      </w:pPr>
    </w:lvl>
  </w:abstractNum>
  <w:abstractNum w:abstractNumId="19" w15:restartNumberingAfterBreak="0">
    <w:nsid w:val="1A417315"/>
    <w:multiLevelType w:val="hybridMultilevel"/>
    <w:tmpl w:val="64F475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71E59A9"/>
    <w:multiLevelType w:val="hybridMultilevel"/>
    <w:tmpl w:val="FD10EC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DDF0C64"/>
    <w:multiLevelType w:val="hybridMultilevel"/>
    <w:tmpl w:val="066CC9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2EC3383B"/>
    <w:multiLevelType w:val="hybridMultilevel"/>
    <w:tmpl w:val="BBFC3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F6C2C32"/>
    <w:multiLevelType w:val="multilevel"/>
    <w:tmpl w:val="9EAC02CF"/>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2674E2B"/>
    <w:multiLevelType w:val="hybridMultilevel"/>
    <w:tmpl w:val="08C61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33B73E3"/>
    <w:multiLevelType w:val="multilevel"/>
    <w:tmpl w:val="97F921D6"/>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E743B4"/>
    <w:multiLevelType w:val="hybridMultilevel"/>
    <w:tmpl w:val="B498DC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5BCA38F"/>
    <w:multiLevelType w:val="multilevel"/>
    <w:tmpl w:val="C3E35760"/>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B9455D0"/>
    <w:multiLevelType w:val="multilevel"/>
    <w:tmpl w:val="BDCE396A"/>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D9664EA"/>
    <w:multiLevelType w:val="hybridMultilevel"/>
    <w:tmpl w:val="B51EB9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055FE76"/>
    <w:multiLevelType w:val="multilevel"/>
    <w:tmpl w:val="93CAF5AA"/>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5B0D81"/>
    <w:multiLevelType w:val="hybridMultilevel"/>
    <w:tmpl w:val="79F073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855F10D"/>
    <w:multiLevelType w:val="multilevel"/>
    <w:tmpl w:val="E574762E"/>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9B2EF4E"/>
    <w:multiLevelType w:val="multilevel"/>
    <w:tmpl w:val="6A5044E8"/>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290D3B"/>
    <w:multiLevelType w:val="hybridMultilevel"/>
    <w:tmpl w:val="C6CE4B6A"/>
    <w:lvl w:ilvl="0" w:tplc="04130001">
      <w:start w:val="1"/>
      <w:numFmt w:val="bullet"/>
      <w:lvlText w:val=""/>
      <w:lvlJc w:val="left"/>
      <w:pPr>
        <w:ind w:left="720" w:hanging="360"/>
      </w:pPr>
      <w:rPr>
        <w:rFonts w:ascii="Symbol" w:hAnsi="Symbol" w:hint="default"/>
      </w:rPr>
    </w:lvl>
    <w:lvl w:ilvl="1" w:tplc="AE8E2EA0">
      <w:numFmt w:val="bullet"/>
      <w:lvlText w:val="–"/>
      <w:lvlJc w:val="left"/>
      <w:pPr>
        <w:tabs>
          <w:tab w:val="num" w:pos="1440"/>
        </w:tabs>
        <w:ind w:left="1440" w:hanging="360"/>
      </w:pPr>
      <w:rPr>
        <w:rFonts w:ascii="Times New Roman" w:hAnsi="Times New Roman" w:hint="default"/>
      </w:rPr>
    </w:lvl>
    <w:lvl w:ilvl="2" w:tplc="F9DCF254" w:tentative="1">
      <w:start w:val="1"/>
      <w:numFmt w:val="bullet"/>
      <w:lvlText w:val="•"/>
      <w:lvlJc w:val="left"/>
      <w:pPr>
        <w:tabs>
          <w:tab w:val="num" w:pos="2160"/>
        </w:tabs>
        <w:ind w:left="2160" w:hanging="360"/>
      </w:pPr>
      <w:rPr>
        <w:rFonts w:ascii="Times New Roman" w:hAnsi="Times New Roman" w:hint="default"/>
      </w:rPr>
    </w:lvl>
    <w:lvl w:ilvl="3" w:tplc="3564C48E" w:tentative="1">
      <w:start w:val="1"/>
      <w:numFmt w:val="bullet"/>
      <w:lvlText w:val="•"/>
      <w:lvlJc w:val="left"/>
      <w:pPr>
        <w:tabs>
          <w:tab w:val="num" w:pos="2880"/>
        </w:tabs>
        <w:ind w:left="2880" w:hanging="360"/>
      </w:pPr>
      <w:rPr>
        <w:rFonts w:ascii="Times New Roman" w:hAnsi="Times New Roman" w:hint="default"/>
      </w:rPr>
    </w:lvl>
    <w:lvl w:ilvl="4" w:tplc="032C0EDA" w:tentative="1">
      <w:start w:val="1"/>
      <w:numFmt w:val="bullet"/>
      <w:lvlText w:val="•"/>
      <w:lvlJc w:val="left"/>
      <w:pPr>
        <w:tabs>
          <w:tab w:val="num" w:pos="3600"/>
        </w:tabs>
        <w:ind w:left="3600" w:hanging="360"/>
      </w:pPr>
      <w:rPr>
        <w:rFonts w:ascii="Times New Roman" w:hAnsi="Times New Roman" w:hint="default"/>
      </w:rPr>
    </w:lvl>
    <w:lvl w:ilvl="5" w:tplc="2A7AE9E2" w:tentative="1">
      <w:start w:val="1"/>
      <w:numFmt w:val="bullet"/>
      <w:lvlText w:val="•"/>
      <w:lvlJc w:val="left"/>
      <w:pPr>
        <w:tabs>
          <w:tab w:val="num" w:pos="4320"/>
        </w:tabs>
        <w:ind w:left="4320" w:hanging="360"/>
      </w:pPr>
      <w:rPr>
        <w:rFonts w:ascii="Times New Roman" w:hAnsi="Times New Roman" w:hint="default"/>
      </w:rPr>
    </w:lvl>
    <w:lvl w:ilvl="6" w:tplc="34502E16" w:tentative="1">
      <w:start w:val="1"/>
      <w:numFmt w:val="bullet"/>
      <w:lvlText w:val="•"/>
      <w:lvlJc w:val="left"/>
      <w:pPr>
        <w:tabs>
          <w:tab w:val="num" w:pos="5040"/>
        </w:tabs>
        <w:ind w:left="5040" w:hanging="360"/>
      </w:pPr>
      <w:rPr>
        <w:rFonts w:ascii="Times New Roman" w:hAnsi="Times New Roman" w:hint="default"/>
      </w:rPr>
    </w:lvl>
    <w:lvl w:ilvl="7" w:tplc="6256E0C6" w:tentative="1">
      <w:start w:val="1"/>
      <w:numFmt w:val="bullet"/>
      <w:lvlText w:val="•"/>
      <w:lvlJc w:val="left"/>
      <w:pPr>
        <w:tabs>
          <w:tab w:val="num" w:pos="5760"/>
        </w:tabs>
        <w:ind w:left="5760" w:hanging="360"/>
      </w:pPr>
      <w:rPr>
        <w:rFonts w:ascii="Times New Roman" w:hAnsi="Times New Roman" w:hint="default"/>
      </w:rPr>
    </w:lvl>
    <w:lvl w:ilvl="8" w:tplc="C8FAD49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1680D21"/>
    <w:multiLevelType w:val="hybridMultilevel"/>
    <w:tmpl w:val="C0F2AD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3021B1F"/>
    <w:multiLevelType w:val="hybridMultilevel"/>
    <w:tmpl w:val="6AD61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37F7947"/>
    <w:multiLevelType w:val="multilevel"/>
    <w:tmpl w:val="9D4BBF8F"/>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3C7072A"/>
    <w:multiLevelType w:val="hybridMultilevel"/>
    <w:tmpl w:val="ED465A84"/>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39" w15:restartNumberingAfterBreak="0">
    <w:nsid w:val="64543252"/>
    <w:multiLevelType w:val="hybridMultilevel"/>
    <w:tmpl w:val="A4000918"/>
    <w:lvl w:ilvl="0" w:tplc="4298419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46E24C2"/>
    <w:multiLevelType w:val="hybridMultilevel"/>
    <w:tmpl w:val="D6948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7F0EB44"/>
    <w:multiLevelType w:val="multilevel"/>
    <w:tmpl w:val="E0859CDA"/>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B23DBC"/>
    <w:multiLevelType w:val="hybridMultilevel"/>
    <w:tmpl w:val="FABCB340"/>
    <w:lvl w:ilvl="0" w:tplc="02C0CA58">
      <w:start w:val="1"/>
      <w:numFmt w:val="bullet"/>
      <w:lvlText w:val="•"/>
      <w:lvlJc w:val="left"/>
      <w:pPr>
        <w:tabs>
          <w:tab w:val="num" w:pos="720"/>
        </w:tabs>
        <w:ind w:left="720" w:hanging="360"/>
      </w:pPr>
      <w:rPr>
        <w:rFonts w:ascii="Times New Roman" w:hAnsi="Times New Roman" w:hint="default"/>
      </w:rPr>
    </w:lvl>
    <w:lvl w:ilvl="1" w:tplc="457066A0">
      <w:start w:val="1"/>
      <w:numFmt w:val="decimal"/>
      <w:lvlText w:val="%2."/>
      <w:lvlJc w:val="left"/>
      <w:pPr>
        <w:tabs>
          <w:tab w:val="num" w:pos="1440"/>
        </w:tabs>
        <w:ind w:left="1440" w:hanging="360"/>
      </w:pPr>
    </w:lvl>
    <w:lvl w:ilvl="2" w:tplc="42984192">
      <w:start w:val="1"/>
      <w:numFmt w:val="bullet"/>
      <w:lvlText w:val=""/>
      <w:lvlJc w:val="left"/>
      <w:pPr>
        <w:ind w:left="1440" w:hanging="360"/>
      </w:pPr>
      <w:rPr>
        <w:rFonts w:ascii="Symbol" w:hAnsi="Symbol" w:hint="default"/>
        <w:color w:val="auto"/>
      </w:rPr>
    </w:lvl>
    <w:lvl w:ilvl="3" w:tplc="EEEECFF0" w:tentative="1">
      <w:start w:val="1"/>
      <w:numFmt w:val="bullet"/>
      <w:lvlText w:val="•"/>
      <w:lvlJc w:val="left"/>
      <w:pPr>
        <w:tabs>
          <w:tab w:val="num" w:pos="2880"/>
        </w:tabs>
        <w:ind w:left="2880" w:hanging="360"/>
      </w:pPr>
      <w:rPr>
        <w:rFonts w:ascii="Times New Roman" w:hAnsi="Times New Roman" w:hint="default"/>
      </w:rPr>
    </w:lvl>
    <w:lvl w:ilvl="4" w:tplc="E1948B9C" w:tentative="1">
      <w:start w:val="1"/>
      <w:numFmt w:val="bullet"/>
      <w:lvlText w:val="•"/>
      <w:lvlJc w:val="left"/>
      <w:pPr>
        <w:tabs>
          <w:tab w:val="num" w:pos="3600"/>
        </w:tabs>
        <w:ind w:left="3600" w:hanging="360"/>
      </w:pPr>
      <w:rPr>
        <w:rFonts w:ascii="Times New Roman" w:hAnsi="Times New Roman" w:hint="default"/>
      </w:rPr>
    </w:lvl>
    <w:lvl w:ilvl="5" w:tplc="5FD00EBA" w:tentative="1">
      <w:start w:val="1"/>
      <w:numFmt w:val="bullet"/>
      <w:lvlText w:val="•"/>
      <w:lvlJc w:val="left"/>
      <w:pPr>
        <w:tabs>
          <w:tab w:val="num" w:pos="4320"/>
        </w:tabs>
        <w:ind w:left="4320" w:hanging="360"/>
      </w:pPr>
      <w:rPr>
        <w:rFonts w:ascii="Times New Roman" w:hAnsi="Times New Roman" w:hint="default"/>
      </w:rPr>
    </w:lvl>
    <w:lvl w:ilvl="6" w:tplc="4B0C7CC6" w:tentative="1">
      <w:start w:val="1"/>
      <w:numFmt w:val="bullet"/>
      <w:lvlText w:val="•"/>
      <w:lvlJc w:val="left"/>
      <w:pPr>
        <w:tabs>
          <w:tab w:val="num" w:pos="5040"/>
        </w:tabs>
        <w:ind w:left="5040" w:hanging="360"/>
      </w:pPr>
      <w:rPr>
        <w:rFonts w:ascii="Times New Roman" w:hAnsi="Times New Roman" w:hint="default"/>
      </w:rPr>
    </w:lvl>
    <w:lvl w:ilvl="7" w:tplc="5BD6913E" w:tentative="1">
      <w:start w:val="1"/>
      <w:numFmt w:val="bullet"/>
      <w:lvlText w:val="•"/>
      <w:lvlJc w:val="left"/>
      <w:pPr>
        <w:tabs>
          <w:tab w:val="num" w:pos="5760"/>
        </w:tabs>
        <w:ind w:left="5760" w:hanging="360"/>
      </w:pPr>
      <w:rPr>
        <w:rFonts w:ascii="Times New Roman" w:hAnsi="Times New Roman" w:hint="default"/>
      </w:rPr>
    </w:lvl>
    <w:lvl w:ilvl="8" w:tplc="75584B86"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6EB44738"/>
    <w:multiLevelType w:val="hybridMultilevel"/>
    <w:tmpl w:val="E46EF4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EBB5B8D"/>
    <w:multiLevelType w:val="hybridMultilevel"/>
    <w:tmpl w:val="F294D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FBA033B"/>
    <w:multiLevelType w:val="multilevel"/>
    <w:tmpl w:val="D7166C2A"/>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1E77F04"/>
    <w:multiLevelType w:val="hybridMultilevel"/>
    <w:tmpl w:val="436C0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4041A58"/>
    <w:multiLevelType w:val="multilevel"/>
    <w:tmpl w:val="6E1C3164"/>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7A2D8B"/>
    <w:multiLevelType w:val="hybridMultilevel"/>
    <w:tmpl w:val="DFC41E7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78B9E68C"/>
    <w:multiLevelType w:val="multilevel"/>
    <w:tmpl w:val="32B4CE95"/>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D729ED2"/>
    <w:multiLevelType w:val="multilevel"/>
    <w:tmpl w:val="B2480002"/>
    <w:lvl w:ilvl="0">
      <w:start w:val="1"/>
      <w:numFmt w:val="decimal"/>
      <w:pStyle w:val="RapportNiveau1"/>
      <w:lvlText w:val="%1."/>
      <w:lvlJc w:val="left"/>
      <w:pPr>
        <w:ind w:left="1120" w:hanging="1120"/>
      </w:pPr>
      <w:rPr>
        <w:sz w:val="24"/>
        <w:szCs w:val="26"/>
      </w:r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6"/>
  </w:num>
  <w:num w:numId="3">
    <w:abstractNumId w:val="32"/>
  </w:num>
  <w:num w:numId="4">
    <w:abstractNumId w:val="37"/>
  </w:num>
  <w:num w:numId="5">
    <w:abstractNumId w:val="47"/>
  </w:num>
  <w:num w:numId="6">
    <w:abstractNumId w:val="4"/>
  </w:num>
  <w:num w:numId="7">
    <w:abstractNumId w:val="41"/>
  </w:num>
  <w:num w:numId="8">
    <w:abstractNumId w:val="2"/>
  </w:num>
  <w:num w:numId="9">
    <w:abstractNumId w:val="23"/>
  </w:num>
  <w:num w:numId="10">
    <w:abstractNumId w:val="8"/>
  </w:num>
  <w:num w:numId="11">
    <w:abstractNumId w:val="30"/>
  </w:num>
  <w:num w:numId="12">
    <w:abstractNumId w:val="27"/>
  </w:num>
  <w:num w:numId="13">
    <w:abstractNumId w:val="5"/>
  </w:num>
  <w:num w:numId="14">
    <w:abstractNumId w:val="50"/>
  </w:num>
  <w:num w:numId="15">
    <w:abstractNumId w:val="0"/>
  </w:num>
  <w:num w:numId="16">
    <w:abstractNumId w:val="7"/>
  </w:num>
  <w:num w:numId="17">
    <w:abstractNumId w:val="1"/>
  </w:num>
  <w:num w:numId="18">
    <w:abstractNumId w:val="15"/>
  </w:num>
  <w:num w:numId="19">
    <w:abstractNumId w:val="45"/>
  </w:num>
  <w:num w:numId="20">
    <w:abstractNumId w:val="25"/>
  </w:num>
  <w:num w:numId="21">
    <w:abstractNumId w:val="13"/>
  </w:num>
  <w:num w:numId="22">
    <w:abstractNumId w:val="3"/>
  </w:num>
  <w:num w:numId="23">
    <w:abstractNumId w:val="33"/>
  </w:num>
  <w:num w:numId="24">
    <w:abstractNumId w:val="49"/>
  </w:num>
  <w:num w:numId="25">
    <w:abstractNumId w:val="28"/>
  </w:num>
  <w:num w:numId="26">
    <w:abstractNumId w:val="9"/>
  </w:num>
  <w:num w:numId="27">
    <w:abstractNumId w:val="42"/>
  </w:num>
  <w:num w:numId="28">
    <w:abstractNumId w:val="21"/>
  </w:num>
  <w:num w:numId="29">
    <w:abstractNumId w:val="48"/>
  </w:num>
  <w:num w:numId="30">
    <w:abstractNumId w:val="11"/>
  </w:num>
  <w:num w:numId="31">
    <w:abstractNumId w:val="14"/>
  </w:num>
  <w:num w:numId="32">
    <w:abstractNumId w:val="39"/>
  </w:num>
  <w:num w:numId="33">
    <w:abstractNumId w:val="18"/>
  </w:num>
  <w:num w:numId="34">
    <w:abstractNumId w:val="34"/>
  </w:num>
  <w:num w:numId="35">
    <w:abstractNumId w:val="17"/>
  </w:num>
  <w:num w:numId="36">
    <w:abstractNumId w:val="38"/>
  </w:num>
  <w:num w:numId="37">
    <w:abstractNumId w:val="16"/>
  </w:num>
  <w:num w:numId="38">
    <w:abstractNumId w:val="31"/>
  </w:num>
  <w:num w:numId="39">
    <w:abstractNumId w:val="36"/>
  </w:num>
  <w:num w:numId="40">
    <w:abstractNumId w:val="26"/>
  </w:num>
  <w:num w:numId="41">
    <w:abstractNumId w:val="43"/>
  </w:num>
  <w:num w:numId="42">
    <w:abstractNumId w:val="44"/>
  </w:num>
  <w:num w:numId="43">
    <w:abstractNumId w:val="10"/>
  </w:num>
  <w:num w:numId="44">
    <w:abstractNumId w:val="35"/>
  </w:num>
  <w:num w:numId="45">
    <w:abstractNumId w:val="20"/>
  </w:num>
  <w:num w:numId="46">
    <w:abstractNumId w:val="46"/>
  </w:num>
  <w:num w:numId="47">
    <w:abstractNumId w:val="22"/>
  </w:num>
  <w:num w:numId="48">
    <w:abstractNumId w:val="29"/>
  </w:num>
  <w:num w:numId="49">
    <w:abstractNumId w:val="19"/>
  </w:num>
  <w:num w:numId="50">
    <w:abstractNumId w:val="40"/>
  </w:num>
  <w:num w:numId="51">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2F1"/>
    <w:rsid w:val="000128D9"/>
    <w:rsid w:val="00014AAF"/>
    <w:rsid w:val="00020AB6"/>
    <w:rsid w:val="0002105C"/>
    <w:rsid w:val="00023436"/>
    <w:rsid w:val="00025217"/>
    <w:rsid w:val="000351C9"/>
    <w:rsid w:val="00036E7B"/>
    <w:rsid w:val="000851F3"/>
    <w:rsid w:val="0009059C"/>
    <w:rsid w:val="0009130C"/>
    <w:rsid w:val="00093C0F"/>
    <w:rsid w:val="000A5867"/>
    <w:rsid w:val="000C0B54"/>
    <w:rsid w:val="000C492D"/>
    <w:rsid w:val="000F0E3C"/>
    <w:rsid w:val="000F4AF3"/>
    <w:rsid w:val="00160ED6"/>
    <w:rsid w:val="00170A7E"/>
    <w:rsid w:val="00172C95"/>
    <w:rsid w:val="001808A7"/>
    <w:rsid w:val="00186D34"/>
    <w:rsid w:val="00192D91"/>
    <w:rsid w:val="00193D1B"/>
    <w:rsid w:val="001A01C7"/>
    <w:rsid w:val="001B6E43"/>
    <w:rsid w:val="001C3B7D"/>
    <w:rsid w:val="001D108F"/>
    <w:rsid w:val="001E26A9"/>
    <w:rsid w:val="001E5633"/>
    <w:rsid w:val="001F5145"/>
    <w:rsid w:val="00252655"/>
    <w:rsid w:val="002571B6"/>
    <w:rsid w:val="00265488"/>
    <w:rsid w:val="002766FD"/>
    <w:rsid w:val="002922C1"/>
    <w:rsid w:val="002959B9"/>
    <w:rsid w:val="00295B49"/>
    <w:rsid w:val="002A40EF"/>
    <w:rsid w:val="002A63B4"/>
    <w:rsid w:val="002B7CC9"/>
    <w:rsid w:val="002D0CA6"/>
    <w:rsid w:val="002D208B"/>
    <w:rsid w:val="002D2B45"/>
    <w:rsid w:val="002D53F5"/>
    <w:rsid w:val="003039EA"/>
    <w:rsid w:val="00303F3D"/>
    <w:rsid w:val="0030496B"/>
    <w:rsid w:val="00306A6B"/>
    <w:rsid w:val="00323018"/>
    <w:rsid w:val="00327100"/>
    <w:rsid w:val="00327BB0"/>
    <w:rsid w:val="00330856"/>
    <w:rsid w:val="003312B9"/>
    <w:rsid w:val="0033137A"/>
    <w:rsid w:val="0033410D"/>
    <w:rsid w:val="00363276"/>
    <w:rsid w:val="0036411F"/>
    <w:rsid w:val="00380ED7"/>
    <w:rsid w:val="003813BB"/>
    <w:rsid w:val="00383D29"/>
    <w:rsid w:val="00387488"/>
    <w:rsid w:val="00387C07"/>
    <w:rsid w:val="003929E9"/>
    <w:rsid w:val="00394DE7"/>
    <w:rsid w:val="003A04F7"/>
    <w:rsid w:val="003C0484"/>
    <w:rsid w:val="003C6DB4"/>
    <w:rsid w:val="003D32F1"/>
    <w:rsid w:val="003D507C"/>
    <w:rsid w:val="003E15FD"/>
    <w:rsid w:val="00401232"/>
    <w:rsid w:val="00406B13"/>
    <w:rsid w:val="00413FA8"/>
    <w:rsid w:val="00420868"/>
    <w:rsid w:val="004460FE"/>
    <w:rsid w:val="00480440"/>
    <w:rsid w:val="00495906"/>
    <w:rsid w:val="004A1A5A"/>
    <w:rsid w:val="004B35B5"/>
    <w:rsid w:val="004B3D53"/>
    <w:rsid w:val="004C45FA"/>
    <w:rsid w:val="004E09BD"/>
    <w:rsid w:val="004E4B6F"/>
    <w:rsid w:val="004F18C2"/>
    <w:rsid w:val="004F371F"/>
    <w:rsid w:val="00516145"/>
    <w:rsid w:val="00533CA2"/>
    <w:rsid w:val="0057319B"/>
    <w:rsid w:val="0057417F"/>
    <w:rsid w:val="005B06FB"/>
    <w:rsid w:val="005B3190"/>
    <w:rsid w:val="005B6051"/>
    <w:rsid w:val="005D1887"/>
    <w:rsid w:val="005D5749"/>
    <w:rsid w:val="005E1DFD"/>
    <w:rsid w:val="00614D85"/>
    <w:rsid w:val="006461B0"/>
    <w:rsid w:val="0065260F"/>
    <w:rsid w:val="00663CDA"/>
    <w:rsid w:val="0066715A"/>
    <w:rsid w:val="006679AF"/>
    <w:rsid w:val="00675F2C"/>
    <w:rsid w:val="006A2688"/>
    <w:rsid w:val="006D748D"/>
    <w:rsid w:val="006E3A3D"/>
    <w:rsid w:val="006E4348"/>
    <w:rsid w:val="006E752D"/>
    <w:rsid w:val="006F03E4"/>
    <w:rsid w:val="007025F8"/>
    <w:rsid w:val="00703AFE"/>
    <w:rsid w:val="00710FD5"/>
    <w:rsid w:val="007221D4"/>
    <w:rsid w:val="00736314"/>
    <w:rsid w:val="0077141E"/>
    <w:rsid w:val="00785504"/>
    <w:rsid w:val="007A32DD"/>
    <w:rsid w:val="007A5DB5"/>
    <w:rsid w:val="007B139E"/>
    <w:rsid w:val="007B404D"/>
    <w:rsid w:val="007C01CF"/>
    <w:rsid w:val="007C6A99"/>
    <w:rsid w:val="007D2B38"/>
    <w:rsid w:val="007E1F23"/>
    <w:rsid w:val="007F1527"/>
    <w:rsid w:val="007F7277"/>
    <w:rsid w:val="007F75A2"/>
    <w:rsid w:val="00853F11"/>
    <w:rsid w:val="008A12F1"/>
    <w:rsid w:val="008B7A34"/>
    <w:rsid w:val="008C069B"/>
    <w:rsid w:val="008D1A2C"/>
    <w:rsid w:val="008F03DA"/>
    <w:rsid w:val="009205FB"/>
    <w:rsid w:val="00925C03"/>
    <w:rsid w:val="00930592"/>
    <w:rsid w:val="00932072"/>
    <w:rsid w:val="00934F9A"/>
    <w:rsid w:val="00935EE9"/>
    <w:rsid w:val="00954B0F"/>
    <w:rsid w:val="00954BEC"/>
    <w:rsid w:val="00970155"/>
    <w:rsid w:val="00981B1A"/>
    <w:rsid w:val="009A2A39"/>
    <w:rsid w:val="009A63FD"/>
    <w:rsid w:val="009A6E22"/>
    <w:rsid w:val="009E4780"/>
    <w:rsid w:val="009E70E0"/>
    <w:rsid w:val="009F2F3E"/>
    <w:rsid w:val="009F30BC"/>
    <w:rsid w:val="009F33C5"/>
    <w:rsid w:val="009F3D38"/>
    <w:rsid w:val="009F50A9"/>
    <w:rsid w:val="009F5DFB"/>
    <w:rsid w:val="009F7823"/>
    <w:rsid w:val="00A21B8A"/>
    <w:rsid w:val="00A278A5"/>
    <w:rsid w:val="00A3648F"/>
    <w:rsid w:val="00A40616"/>
    <w:rsid w:val="00A451D4"/>
    <w:rsid w:val="00A572E3"/>
    <w:rsid w:val="00A732EE"/>
    <w:rsid w:val="00A80DE5"/>
    <w:rsid w:val="00A8650F"/>
    <w:rsid w:val="00AD2155"/>
    <w:rsid w:val="00AE0E88"/>
    <w:rsid w:val="00AE1FCD"/>
    <w:rsid w:val="00AF2C96"/>
    <w:rsid w:val="00AF749F"/>
    <w:rsid w:val="00B0090B"/>
    <w:rsid w:val="00B06534"/>
    <w:rsid w:val="00B12E84"/>
    <w:rsid w:val="00B21AD1"/>
    <w:rsid w:val="00B35B80"/>
    <w:rsid w:val="00B41A36"/>
    <w:rsid w:val="00B46B08"/>
    <w:rsid w:val="00B52EDC"/>
    <w:rsid w:val="00B53BE1"/>
    <w:rsid w:val="00B562F0"/>
    <w:rsid w:val="00B61F93"/>
    <w:rsid w:val="00BB0762"/>
    <w:rsid w:val="00BC49F9"/>
    <w:rsid w:val="00C01223"/>
    <w:rsid w:val="00C33ABA"/>
    <w:rsid w:val="00C3402F"/>
    <w:rsid w:val="00C405CD"/>
    <w:rsid w:val="00C446ED"/>
    <w:rsid w:val="00C4498D"/>
    <w:rsid w:val="00C46AB9"/>
    <w:rsid w:val="00C52106"/>
    <w:rsid w:val="00C5233C"/>
    <w:rsid w:val="00C5408C"/>
    <w:rsid w:val="00C70116"/>
    <w:rsid w:val="00C95419"/>
    <w:rsid w:val="00C95A2E"/>
    <w:rsid w:val="00CB4584"/>
    <w:rsid w:val="00CB4A6F"/>
    <w:rsid w:val="00CC54BC"/>
    <w:rsid w:val="00CF4128"/>
    <w:rsid w:val="00D03139"/>
    <w:rsid w:val="00D070FF"/>
    <w:rsid w:val="00D0772D"/>
    <w:rsid w:val="00D20841"/>
    <w:rsid w:val="00D22F11"/>
    <w:rsid w:val="00D23D7B"/>
    <w:rsid w:val="00D357F8"/>
    <w:rsid w:val="00D413D3"/>
    <w:rsid w:val="00D45F19"/>
    <w:rsid w:val="00D50B8D"/>
    <w:rsid w:val="00D514AC"/>
    <w:rsid w:val="00D54A69"/>
    <w:rsid w:val="00D60838"/>
    <w:rsid w:val="00D65144"/>
    <w:rsid w:val="00DA01BC"/>
    <w:rsid w:val="00DB49F2"/>
    <w:rsid w:val="00DE20AB"/>
    <w:rsid w:val="00E26E6F"/>
    <w:rsid w:val="00E34122"/>
    <w:rsid w:val="00E67CDC"/>
    <w:rsid w:val="00E8638B"/>
    <w:rsid w:val="00EA3BDA"/>
    <w:rsid w:val="00EC1F17"/>
    <w:rsid w:val="00EC2EE6"/>
    <w:rsid w:val="00EC3497"/>
    <w:rsid w:val="00ED3B1C"/>
    <w:rsid w:val="00ED5299"/>
    <w:rsid w:val="00F0235B"/>
    <w:rsid w:val="00F31380"/>
    <w:rsid w:val="00F33BBC"/>
    <w:rsid w:val="00F908B2"/>
    <w:rsid w:val="00FB1B50"/>
    <w:rsid w:val="00FC1D70"/>
    <w:rsid w:val="00FE1748"/>
    <w:rsid w:val="00FF07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3D4CB0"/>
  <w15:docId w15:val="{AE44DD6D-CCEF-8E4D-8F23-59FF8DAC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pPr>
      <w:spacing w:line="240" w:lineRule="exact"/>
    </w:pPr>
    <w:rPr>
      <w:rFonts w:ascii="Verdana" w:hAnsi="Verdana"/>
      <w:color w:val="000000"/>
      <w:sz w:val="18"/>
      <w:szCs w:val="18"/>
    </w:rPr>
  </w:style>
  <w:style w:type="paragraph" w:styleId="Kop1">
    <w:name w:val="heading 1"/>
    <w:basedOn w:val="Standaard"/>
    <w:next w:val="Standaard"/>
    <w:link w:val="Kop1Char"/>
    <w:uiPriority w:val="9"/>
    <w:qFormat/>
    <w:rsid w:val="00B06534"/>
    <w:pPr>
      <w:keepNext/>
      <w:keepLines/>
      <w:spacing w:before="720" w:after="720"/>
      <w:outlineLvl w:val="0"/>
    </w:pPr>
    <w:rPr>
      <w:rFonts w:eastAsiaTheme="majorEastAsia" w:cstheme="majorBidi"/>
      <w:color w:val="auto"/>
      <w:sz w:val="24"/>
      <w:szCs w:val="32"/>
    </w:rPr>
  </w:style>
  <w:style w:type="paragraph" w:styleId="Kop2">
    <w:name w:val="heading 2"/>
    <w:basedOn w:val="Standaard"/>
    <w:next w:val="Standaard"/>
    <w:link w:val="Kop2Char"/>
    <w:uiPriority w:val="9"/>
    <w:unhideWhenUsed/>
    <w:qFormat/>
    <w:rsid w:val="003A04F7"/>
    <w:pPr>
      <w:keepNext/>
      <w:keepLines/>
      <w:spacing w:before="280" w:after="240"/>
      <w:outlineLvl w:val="1"/>
    </w:pPr>
    <w:rPr>
      <w:rFonts w:eastAsiaTheme="majorEastAsia" w:cstheme="majorBidi"/>
      <w:b/>
      <w:color w:val="auto"/>
      <w:szCs w:val="26"/>
    </w:rPr>
  </w:style>
  <w:style w:type="paragraph" w:styleId="Kop3">
    <w:name w:val="heading 3"/>
    <w:basedOn w:val="Standaard"/>
    <w:next w:val="Standaard"/>
    <w:link w:val="Kop3Char"/>
    <w:uiPriority w:val="9"/>
    <w:semiHidden/>
    <w:unhideWhenUsed/>
    <w:qFormat/>
    <w:rsid w:val="00DE20AB"/>
    <w:pPr>
      <w:keepNext/>
      <w:keepLines/>
      <w:spacing w:before="40"/>
      <w:outlineLvl w:val="2"/>
    </w:pPr>
    <w:rPr>
      <w:rFonts w:eastAsiaTheme="majorEastAsia" w:cstheme="majorBidi"/>
      <w:color w:val="auto"/>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enAutorisatiebesluit">
    <w:name w:val="Artikelen Autorisatiebesluit"/>
    <w:basedOn w:val="Standaard"/>
    <w:pPr>
      <w:tabs>
        <w:tab w:val="left" w:pos="10091"/>
        <w:tab w:val="left" w:pos="10091"/>
      </w:tabs>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nvenantArtikel">
    <w:name w:val="Convenant Artikel"/>
    <w:basedOn w:val="Standaard"/>
    <w:next w:val="Standaard"/>
    <w:pPr>
      <w:numPr>
        <w:numId w:val="8"/>
      </w:numPr>
      <w:spacing w:before="200" w:after="200"/>
    </w:pPr>
    <w:rPr>
      <w:b/>
      <w:sz w:val="20"/>
      <w:szCs w:val="20"/>
    </w:rPr>
  </w:style>
  <w:style w:type="paragraph" w:customStyle="1" w:styleId="ConvenantletteringArtikel">
    <w:name w:val="Convenant lettering Artikel"/>
    <w:basedOn w:val="Standaard"/>
    <w:next w:val="Standaard"/>
  </w:style>
  <w:style w:type="paragraph" w:customStyle="1" w:styleId="Convenantletteringinspring">
    <w:name w:val="Convenant lettering inspring"/>
    <w:basedOn w:val="Standaard"/>
    <w:next w:val="Standaard"/>
    <w:rPr>
      <w:sz w:val="20"/>
      <w:szCs w:val="20"/>
    </w:rPr>
  </w:style>
  <w:style w:type="paragraph" w:customStyle="1" w:styleId="ConvenantLid">
    <w:name w:val="Convenant Lid"/>
    <w:basedOn w:val="Standaard"/>
    <w:next w:val="Standaard"/>
    <w:pPr>
      <w:numPr>
        <w:ilvl w:val="1"/>
        <w:numId w:val="8"/>
      </w:numPr>
    </w:pPr>
    <w:rPr>
      <w:sz w:val="20"/>
      <w:szCs w:val="20"/>
    </w:rPr>
  </w:style>
  <w:style w:type="paragraph" w:customStyle="1" w:styleId="Convenantlidletterstijlinspring">
    <w:name w:val="Convenant lid (letterstijl inspring)"/>
    <w:basedOn w:val="Standaard"/>
    <w:next w:val="Standaard"/>
    <w:pPr>
      <w:numPr>
        <w:numId w:val="7"/>
      </w:numPr>
    </w:pPr>
    <w:rPr>
      <w:sz w:val="20"/>
      <w:szCs w:val="20"/>
    </w:rPr>
  </w:style>
  <w:style w:type="paragraph" w:customStyle="1" w:styleId="ConvenantLidletterstijl">
    <w:name w:val="Convenant Lid (letterstijl)"/>
    <w:basedOn w:val="Standaard"/>
    <w:next w:val="Standaard"/>
    <w:pPr>
      <w:numPr>
        <w:numId w:val="6"/>
      </w:numPr>
    </w:pPr>
    <w:rPr>
      <w:sz w:val="20"/>
      <w:szCs w:val="20"/>
    </w:rPr>
  </w:style>
  <w:style w:type="paragraph" w:customStyle="1" w:styleId="ConvenantnummeringArtikel">
    <w:name w:val="Convenant nummering Artikel"/>
    <w:basedOn w:val="Standaard"/>
    <w:next w:val="Standaard"/>
  </w:style>
  <w:style w:type="paragraph" w:customStyle="1" w:styleId="Convenantstandaard">
    <w:name w:val="Convenant standaard"/>
    <w:basedOn w:val="Standaard"/>
    <w:next w:val="Standaard"/>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Pr>
      <w:sz w:val="15"/>
      <w:szCs w:val="15"/>
    </w:rPr>
  </w:style>
  <w:style w:type="paragraph" w:customStyle="1" w:styleId="FMHDechargeverklaringKop">
    <w:name w:val="FMH_Dechargeverklaring_Kop"/>
    <w:basedOn w:val="Standaard"/>
    <w:next w:val="Standaard"/>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pPr>
  </w:style>
  <w:style w:type="paragraph" w:customStyle="1" w:styleId="FmhProcesVerbaalOndertekening">
    <w:name w:val="Fmh_Proces_Verbaal_Ondertekening"/>
    <w:basedOn w:val="Standaard"/>
    <w:next w:val="Standaard"/>
    <w:pPr>
      <w:tabs>
        <w:tab w:val="left" w:pos="2834"/>
        <w:tab w:val="left" w:pos="2834"/>
        <w:tab w:val="left" w:pos="2834"/>
      </w:tabs>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spacing w:after="700" w:line="300" w:lineRule="exact"/>
    </w:pPr>
    <w:rPr>
      <w:sz w:val="24"/>
      <w:szCs w:val="24"/>
    </w:rPr>
  </w:style>
  <w:style w:type="paragraph" w:styleId="Inhopg1">
    <w:name w:val="toc 1"/>
    <w:basedOn w:val="Standaard"/>
    <w:next w:val="Standaard"/>
    <w:link w:val="Inhopg1Char"/>
    <w:uiPriority w:val="39"/>
    <w:rsid w:val="000128D9"/>
    <w:pPr>
      <w:spacing w:before="360" w:after="360"/>
    </w:pPr>
    <w:rPr>
      <w:rFonts w:asciiTheme="minorHAnsi" w:hAnsiTheme="minorHAnsi" w:cstheme="minorHAnsi"/>
      <w:bCs/>
      <w:caps/>
      <w:color w:val="auto"/>
      <w:sz w:val="20"/>
      <w:szCs w:val="20"/>
    </w:rPr>
  </w:style>
  <w:style w:type="paragraph" w:styleId="Inhopg2">
    <w:name w:val="toc 2"/>
    <w:basedOn w:val="Standaard"/>
    <w:next w:val="Standaard"/>
    <w:link w:val="Inhopg2Char"/>
    <w:uiPriority w:val="39"/>
    <w:rsid w:val="000128D9"/>
    <w:pPr>
      <w:spacing w:before="240" w:after="240"/>
      <w:ind w:left="180"/>
    </w:pPr>
    <w:rPr>
      <w:bCs/>
      <w:caps/>
      <w:smallCaps/>
    </w:rPr>
  </w:style>
  <w:style w:type="paragraph" w:styleId="Inhopg3">
    <w:name w:val="toc 3"/>
    <w:basedOn w:val="Inhopg2"/>
    <w:next w:val="Standaard"/>
    <w:pPr>
      <w:ind w:left="360"/>
    </w:pPr>
    <w:rPr>
      <w:rFonts w:asciiTheme="minorHAnsi" w:hAnsiTheme="minorHAnsi" w:cstheme="minorHAnsi"/>
      <w:bCs w:val="0"/>
      <w:i/>
      <w:iCs/>
      <w:caps w:val="0"/>
      <w:smallCaps w:val="0"/>
      <w:color w:val="auto"/>
      <w:sz w:val="20"/>
      <w:szCs w:val="20"/>
    </w:rPr>
  </w:style>
  <w:style w:type="paragraph" w:styleId="Inhopg4">
    <w:name w:val="toc 4"/>
    <w:basedOn w:val="Inhopg3"/>
    <w:next w:val="Standaard"/>
    <w:pPr>
      <w:ind w:left="540"/>
    </w:pPr>
    <w:rPr>
      <w:i w:val="0"/>
      <w:iCs w:val="0"/>
      <w:sz w:val="18"/>
      <w:szCs w:val="18"/>
    </w:rPr>
  </w:style>
  <w:style w:type="paragraph" w:styleId="Inhopg5">
    <w:name w:val="toc 5"/>
    <w:basedOn w:val="Inhopg4"/>
    <w:next w:val="Standaard"/>
    <w:pPr>
      <w:ind w:left="720"/>
    </w:pPr>
  </w:style>
  <w:style w:type="paragraph" w:styleId="Inhopg6">
    <w:name w:val="toc 6"/>
    <w:basedOn w:val="Inhopg5"/>
    <w:next w:val="Standaard"/>
    <w:pPr>
      <w:ind w:left="900"/>
    </w:pPr>
  </w:style>
  <w:style w:type="paragraph" w:styleId="Inhopg7">
    <w:name w:val="toc 7"/>
    <w:basedOn w:val="Inhopg6"/>
    <w:next w:val="Standaard"/>
    <w:pPr>
      <w:ind w:left="1080"/>
    </w:pPr>
  </w:style>
  <w:style w:type="paragraph" w:styleId="Inhopg8">
    <w:name w:val="toc 8"/>
    <w:basedOn w:val="Inhopg7"/>
    <w:next w:val="Standaard"/>
    <w:pPr>
      <w:ind w:left="1260"/>
    </w:pPr>
  </w:style>
  <w:style w:type="paragraph" w:styleId="Inhopg9">
    <w:name w:val="toc 9"/>
    <w:basedOn w:val="Inhopg8"/>
    <w:next w:val="Standaard"/>
    <w:pPr>
      <w:ind w:left="14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0"/>
      </w:numPr>
    </w:pPr>
  </w:style>
  <w:style w:type="paragraph" w:customStyle="1" w:styleId="LedenArt1niv2">
    <w:name w:val="Leden_Art_1_niv2"/>
    <w:basedOn w:val="Standaard"/>
    <w:next w:val="Standaard"/>
    <w:pPr>
      <w:numPr>
        <w:ilvl w:val="1"/>
        <w:numId w:val="20"/>
      </w:numPr>
    </w:pPr>
  </w:style>
  <w:style w:type="paragraph" w:customStyle="1" w:styleId="LedenArt10">
    <w:name w:val="Leden_Art_10"/>
    <w:basedOn w:val="Standaard"/>
    <w:next w:val="Standaard"/>
    <w:pPr>
      <w:numPr>
        <w:numId w:val="21"/>
      </w:numPr>
    </w:pPr>
  </w:style>
  <w:style w:type="paragraph" w:customStyle="1" w:styleId="LedenArt10niv2">
    <w:name w:val="Leden_Art_10_niv2"/>
    <w:basedOn w:val="Standaard"/>
    <w:next w:val="Standaard"/>
    <w:pPr>
      <w:numPr>
        <w:ilvl w:val="1"/>
        <w:numId w:val="21"/>
      </w:numPr>
    </w:pPr>
  </w:style>
  <w:style w:type="paragraph" w:customStyle="1" w:styleId="LedenArt11">
    <w:name w:val="Leden_Art_11"/>
    <w:basedOn w:val="Standaard"/>
    <w:next w:val="Standaard"/>
    <w:pPr>
      <w:numPr>
        <w:numId w:val="22"/>
      </w:numPr>
    </w:pPr>
  </w:style>
  <w:style w:type="paragraph" w:customStyle="1" w:styleId="LedenArt3">
    <w:name w:val="Leden_Art_3"/>
    <w:basedOn w:val="Standaard"/>
    <w:next w:val="Standaard"/>
    <w:pPr>
      <w:numPr>
        <w:numId w:val="23"/>
      </w:numPr>
    </w:pPr>
  </w:style>
  <w:style w:type="paragraph" w:customStyle="1" w:styleId="LedenArt6">
    <w:name w:val="Leden_Art_6"/>
    <w:basedOn w:val="Standaard"/>
    <w:next w:val="Standaard"/>
    <w:pPr>
      <w:numPr>
        <w:numId w:val="24"/>
      </w:numPr>
    </w:pPr>
  </w:style>
  <w:style w:type="paragraph" w:customStyle="1" w:styleId="LedenArt6niv2">
    <w:name w:val="Leden_Art_6_niv2"/>
    <w:basedOn w:val="Standaard"/>
    <w:next w:val="Standaard"/>
    <w:pPr>
      <w:numPr>
        <w:ilvl w:val="1"/>
        <w:numId w:val="24"/>
      </w:numPr>
    </w:pPr>
  </w:style>
  <w:style w:type="paragraph" w:customStyle="1" w:styleId="LedenArt7">
    <w:name w:val="Leden_Art_7"/>
    <w:basedOn w:val="Standaard"/>
    <w:next w:val="Standaard"/>
    <w:pPr>
      <w:numPr>
        <w:numId w:val="25"/>
      </w:numPr>
    </w:pPr>
  </w:style>
  <w:style w:type="paragraph" w:customStyle="1" w:styleId="LedenArt7niv2">
    <w:name w:val="Leden_Art_7_niv2"/>
    <w:basedOn w:val="Standaard"/>
    <w:next w:val="Standaard"/>
    <w:pPr>
      <w:numPr>
        <w:ilvl w:val="1"/>
        <w:numId w:val="25"/>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style>
  <w:style w:type="paragraph" w:customStyle="1" w:styleId="LogiusMTNotitiebullet">
    <w:name w:val="Logius MT Notitie bullet"/>
    <w:basedOn w:val="Standaard"/>
    <w:next w:val="Standaard"/>
    <w:pPr>
      <w:numPr>
        <w:numId w:val="10"/>
      </w:numPr>
    </w:pPr>
  </w:style>
  <w:style w:type="paragraph" w:customStyle="1" w:styleId="LogiusMTNotitieopsomming">
    <w:name w:val="Logius MT Notitie opsomming"/>
    <w:basedOn w:val="Standaard"/>
    <w:next w:val="Standaard"/>
    <w:pPr>
      <w:numPr>
        <w:numId w:val="11"/>
      </w:numPr>
    </w:pPr>
    <w:rPr>
      <w:b/>
    </w:rPr>
  </w:style>
  <w:style w:type="paragraph" w:customStyle="1" w:styleId="LogiusMTNotitieopsommingbullet">
    <w:name w:val="Logius MT Notitie opsomming bullet"/>
    <w:basedOn w:val="Standaard"/>
    <w:next w:val="Standaard"/>
  </w:style>
  <w:style w:type="paragraph" w:customStyle="1" w:styleId="LogiusMTNotitieopsommingniv2">
    <w:name w:val="Logius MT Notitie opsomming niv 2"/>
    <w:basedOn w:val="Standaard"/>
    <w:next w:val="Standaard"/>
    <w:pPr>
      <w:numPr>
        <w:ilvl w:val="1"/>
        <w:numId w:val="10"/>
      </w:numPr>
    </w:pPr>
  </w:style>
  <w:style w:type="paragraph" w:customStyle="1" w:styleId="LogiusMTNotitieopsommingnummering">
    <w:name w:val="Logius MT Notitie opsomming nummering"/>
    <w:basedOn w:val="Standaard"/>
    <w:next w:val="Standaard"/>
  </w:style>
  <w:style w:type="paragraph" w:customStyle="1" w:styleId="LogiusNummeringExtra">
    <w:name w:val="Logius Nummering Extra"/>
    <w:basedOn w:val="Standaard"/>
    <w:next w:val="Standaard"/>
    <w:pPr>
      <w:numPr>
        <w:numId w:val="12"/>
      </w:numPr>
    </w:pPr>
  </w:style>
  <w:style w:type="paragraph" w:customStyle="1" w:styleId="LogiusNummeringExtraLijst">
    <w:name w:val="Logius Nummering Extra Lijst"/>
    <w:basedOn w:val="Standaard"/>
    <w:next w:val="Standaard"/>
  </w:style>
  <w:style w:type="paragraph" w:customStyle="1" w:styleId="LogiusOpsomming1a">
    <w:name w:val="Logius Opsomming 1a"/>
    <w:basedOn w:val="Standaard"/>
    <w:next w:val="Standaard"/>
  </w:style>
  <w:style w:type="paragraph" w:customStyle="1" w:styleId="LogiusOpsomming1aniv1">
    <w:name w:val="Logius Opsomming 1a niv1"/>
    <w:basedOn w:val="Standaard"/>
    <w:next w:val="Standaard"/>
    <w:pPr>
      <w:numPr>
        <w:numId w:val="13"/>
      </w:numPr>
    </w:pPr>
  </w:style>
  <w:style w:type="paragraph" w:customStyle="1" w:styleId="LogiusOpsomming1aniv2">
    <w:name w:val="Logius Opsomming 1a niv2"/>
    <w:basedOn w:val="Standaard"/>
    <w:next w:val="Standaard"/>
    <w:pPr>
      <w:numPr>
        <w:ilvl w:val="1"/>
        <w:numId w:val="13"/>
      </w:numPr>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pPr>
  </w:style>
  <w:style w:type="paragraph" w:customStyle="1" w:styleId="Logiustekstmetopsommingniveau2">
    <w:name w:val="Logius tekst met opsomming niveau 2"/>
    <w:basedOn w:val="Standaard"/>
    <w:next w:val="Standaard"/>
    <w:pPr>
      <w:numPr>
        <w:ilvl w:val="1"/>
        <w:numId w:val="9"/>
      </w:numPr>
    </w:pPr>
  </w:style>
  <w:style w:type="paragraph" w:customStyle="1" w:styleId="LogiusVerdana12Italic">
    <w:name w:val="Logius Verdana 12 Italic"/>
    <w:basedOn w:val="Standaard"/>
    <w:next w:val="Standaard"/>
    <w:rPr>
      <w:i/>
      <w:sz w:val="24"/>
      <w:szCs w:val="24"/>
    </w:rPr>
  </w:style>
  <w:style w:type="paragraph" w:customStyle="1" w:styleId="Logiusbasisnummering">
    <w:name w:val="Logius_basis_nummering"/>
    <w:basedOn w:val="Standaard"/>
    <w:next w:val="Standaard"/>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Paginaeinde">
    <w:name w:val="Paginaeinde"/>
    <w:basedOn w:val="Standaard"/>
    <w:next w:val="Standaard"/>
    <w:pPr>
      <w:pageBreakBefore/>
    </w:pPr>
    <w:rPr>
      <w:sz w:val="2"/>
      <w:szCs w:val="2"/>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style>
  <w:style w:type="paragraph" w:customStyle="1" w:styleId="RapportNiveau1">
    <w:name w:val="Rapport_Niveau_1"/>
    <w:basedOn w:val="Standaard"/>
    <w:next w:val="Standaard"/>
    <w:pPr>
      <w:numPr>
        <w:numId w:val="14"/>
      </w:numPr>
      <w:spacing w:after="700" w:line="300" w:lineRule="exact"/>
    </w:pPr>
    <w:rPr>
      <w:sz w:val="24"/>
      <w:szCs w:val="24"/>
    </w:rPr>
  </w:style>
  <w:style w:type="paragraph" w:customStyle="1" w:styleId="RapportNiveau2">
    <w:name w:val="Rapport_Niveau_2"/>
    <w:basedOn w:val="Standaard"/>
    <w:next w:val="Standaard"/>
    <w:pPr>
      <w:numPr>
        <w:ilvl w:val="1"/>
        <w:numId w:val="14"/>
      </w:numPr>
    </w:pPr>
    <w:rPr>
      <w:b/>
    </w:rPr>
  </w:style>
  <w:style w:type="paragraph" w:customStyle="1" w:styleId="RapportNiveau3">
    <w:name w:val="Rapport_Niveau_3"/>
    <w:basedOn w:val="Standaard"/>
    <w:next w:val="Standaard"/>
    <w:pPr>
      <w:numPr>
        <w:ilvl w:val="2"/>
        <w:numId w:val="14"/>
      </w:numPr>
    </w:pPr>
    <w:rPr>
      <w:i/>
    </w:rPr>
  </w:style>
  <w:style w:type="paragraph" w:customStyle="1" w:styleId="RapportNiveau4">
    <w:name w:val="Rapport_Niveau_4"/>
    <w:basedOn w:val="Standaard"/>
    <w:next w:val="Standaard"/>
    <w:pPr>
      <w:numPr>
        <w:ilvl w:val="3"/>
        <w:numId w:val="14"/>
      </w:numPr>
    </w:pPr>
  </w:style>
  <w:style w:type="paragraph" w:customStyle="1" w:styleId="RapportNiveau5">
    <w:name w:val="Rapport_Niveau_5"/>
    <w:basedOn w:val="Standaard"/>
    <w:next w:val="Standaard"/>
    <w:pPr>
      <w:numPr>
        <w:ilvl w:val="4"/>
        <w:numId w:val="14"/>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5"/>
      </w:numPr>
    </w:pPr>
  </w:style>
  <w:style w:type="paragraph" w:customStyle="1" w:styleId="RCStreepje">
    <w:name w:val="RC Streepje"/>
    <w:basedOn w:val="Standaard"/>
    <w:next w:val="Standaard"/>
  </w:style>
  <w:style w:type="paragraph" w:customStyle="1" w:styleId="RCabc">
    <w:name w:val="RC_abc"/>
    <w:basedOn w:val="Standaard"/>
    <w:next w:val="Standaard"/>
  </w:style>
  <w:style w:type="paragraph" w:customStyle="1" w:styleId="RCabcalinea">
    <w:name w:val="RC_abc alinea"/>
    <w:basedOn w:val="Standaard"/>
    <w:next w:val="Standaard"/>
    <w:pPr>
      <w:numPr>
        <w:numId w:val="16"/>
      </w:numPr>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1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pPr>
  </w:style>
  <w:style w:type="paragraph" w:customStyle="1" w:styleId="Robrfvabc">
    <w:name w:val="Robrfv_abc"/>
    <w:basedOn w:val="Standaard"/>
    <w:next w:val="Standaard"/>
    <w:pPr>
      <w:numPr>
        <w:ilvl w:val="5"/>
        <w:numId w:val="17"/>
      </w:numPr>
      <w:spacing w:before="180" w:line="300" w:lineRule="exact"/>
    </w:pPr>
  </w:style>
  <w:style w:type="paragraph" w:customStyle="1" w:styleId="Robrfvniv1b11">
    <w:name w:val="Robrfvniv1_b11"/>
    <w:basedOn w:val="Standaard"/>
    <w:next w:val="Standaard"/>
    <w:pPr>
      <w:numPr>
        <w:numId w:val="17"/>
      </w:numPr>
      <w:spacing w:before="360" w:line="300" w:lineRule="exact"/>
    </w:pPr>
    <w:rPr>
      <w:b/>
      <w:sz w:val="22"/>
      <w:szCs w:val="22"/>
    </w:rPr>
  </w:style>
  <w:style w:type="paragraph" w:customStyle="1" w:styleId="Robrfvniv2">
    <w:name w:val="Robrfvniv2"/>
    <w:basedOn w:val="Standaard"/>
    <w:next w:val="Standaard"/>
    <w:pPr>
      <w:numPr>
        <w:ilvl w:val="1"/>
        <w:numId w:val="17"/>
      </w:numPr>
      <w:spacing w:before="180" w:line="300" w:lineRule="exact"/>
    </w:pPr>
    <w:rPr>
      <w:b/>
    </w:rPr>
  </w:style>
  <w:style w:type="paragraph" w:customStyle="1" w:styleId="Robrfvniv3standaard">
    <w:name w:val="Robrfvniv3_standaard"/>
    <w:basedOn w:val="Standaard"/>
    <w:next w:val="Standaard"/>
    <w:pPr>
      <w:numPr>
        <w:ilvl w:val="3"/>
        <w:numId w:val="17"/>
      </w:numPr>
    </w:pPr>
  </w:style>
  <w:style w:type="paragraph" w:customStyle="1" w:styleId="Robrfvniv5">
    <w:name w:val="Robrfvniv5"/>
    <w:basedOn w:val="Standaard"/>
    <w:next w:val="Standaard"/>
    <w:pPr>
      <w:numPr>
        <w:ilvl w:val="4"/>
        <w:numId w:val="17"/>
      </w:numPr>
    </w:pPr>
  </w:style>
  <w:style w:type="paragraph" w:customStyle="1" w:styleId="Robrfvopsommingslijst">
    <w:name w:val="Robrfvopsommingslijst"/>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style>
  <w:style w:type="paragraph" w:customStyle="1" w:styleId="RVIGLetteropsomming">
    <w:name w:val="RVIG Letteropsomming"/>
    <w:basedOn w:val="Standaard"/>
    <w:next w:val="Standaard"/>
  </w:style>
  <w:style w:type="paragraph" w:customStyle="1" w:styleId="RvIGOpsomming">
    <w:name w:val="RvIG Opsomming"/>
    <w:basedOn w:val="Standaard"/>
    <w:next w:val="Standaard"/>
    <w:pPr>
      <w:ind w:left="1260"/>
    </w:pPr>
  </w:style>
  <w:style w:type="paragraph" w:customStyle="1" w:styleId="RVIGOpsommingGebruikersgegevens">
    <w:name w:val="RVIG Opsomming Gebruikersgegevens"/>
    <w:basedOn w:val="Standaard"/>
    <w:next w:val="Standaard"/>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18"/>
      </w:numPr>
      <w:spacing w:after="240"/>
    </w:pPr>
  </w:style>
  <w:style w:type="paragraph" w:customStyle="1" w:styleId="RVIGTekstbesluitmetletters">
    <w:name w:val="RVIG Tekst besluit met letters"/>
    <w:basedOn w:val="Standaard"/>
    <w:next w:val="Standaard"/>
    <w:pPr>
      <w:numPr>
        <w:numId w:val="19"/>
      </w:numPr>
      <w:spacing w:after="240"/>
    </w:pPr>
  </w:style>
  <w:style w:type="paragraph" w:customStyle="1" w:styleId="Slotzin">
    <w:name w:val="Slotzin"/>
    <w:basedOn w:val="Standaard"/>
    <w:next w:val="Standaard"/>
  </w:style>
  <w:style w:type="paragraph" w:customStyle="1" w:styleId="SSCICTslotzin">
    <w:name w:val="SSC_ICT_slotzin"/>
    <w:basedOn w:val="Standaard"/>
    <w:next w:val="Standaard"/>
    <w:pPr>
      <w:spacing w:before="240"/>
    </w:pPr>
  </w:style>
  <w:style w:type="paragraph" w:customStyle="1" w:styleId="SSC-ICTAanhef">
    <w:name w:val="SSC-ICT Aanhef"/>
    <w:basedOn w:val="Standaard"/>
    <w:next w:val="Standaard"/>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ind w:left="40"/>
    </w:p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Grijsgemarkeerd">
    <w:name w:val="Standaard Grijs gemarkeerd"/>
    <w:basedOn w:val="Standaard"/>
    <w:next w:val="Standaard"/>
    <w:pPr>
      <w:shd w:val="clear" w:color="auto" w:fill="B2B2B2"/>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rPr>
      <w:smallCaps/>
    </w:rPr>
  </w:style>
  <w:style w:type="paragraph" w:customStyle="1" w:styleId="Standaardrechts">
    <w:name w:val="Standaard rechts"/>
    <w:basedOn w:val="Standaard"/>
    <w:next w:val="Standaard"/>
    <w:pPr>
      <w:jc w:val="right"/>
    </w:pPr>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rPr>
      <w:sz w:val="16"/>
      <w:szCs w:val="16"/>
    </w:rPr>
  </w:style>
  <w:style w:type="paragraph" w:customStyle="1" w:styleId="StandaardVet">
    <w:name w:val="Standaard Vet"/>
    <w:basedOn w:val="Standaard"/>
    <w:next w:val="Standaard"/>
    <w:rPr>
      <w:b/>
    </w:r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link w:val="Verdana8Char"/>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pPr>
    <w:rPr>
      <w:b/>
    </w:rPr>
  </w:style>
  <w:style w:type="paragraph" w:customStyle="1" w:styleId="WOBBesluitBijlageLidArtikel">
    <w:name w:val="WOB Besluit Bijlage Lid Artikel"/>
    <w:basedOn w:val="Standaard"/>
    <w:next w:val="Standaard"/>
    <w:pPr>
      <w:numPr>
        <w:numId w:val="4"/>
      </w:numPr>
      <w:ind w:firstLine="0"/>
    </w:pPr>
  </w:style>
  <w:style w:type="paragraph" w:customStyle="1" w:styleId="WOBBesluitKop">
    <w:name w:val="WOB Besluit Kop"/>
    <w:basedOn w:val="Standaard"/>
    <w:next w:val="Standaard"/>
    <w:pPr>
      <w:spacing w:before="180"/>
    </w:pPr>
    <w:rPr>
      <w:b/>
    </w:rPr>
  </w:style>
  <w:style w:type="paragraph" w:customStyle="1" w:styleId="WOBBesluitLidgenummerd">
    <w:name w:val="WOB Besluit Lid genummerd"/>
    <w:basedOn w:val="Standaard"/>
    <w:next w:val="Standaard"/>
    <w:pPr>
      <w:numPr>
        <w:numId w:val="5"/>
      </w:numPr>
    </w:pPr>
  </w:style>
  <w:style w:type="paragraph" w:customStyle="1" w:styleId="WOBBesluitStandaard">
    <w:name w:val="WOB Besluit Standaard"/>
    <w:basedOn w:val="Standaard"/>
    <w:next w:val="Standaard"/>
    <w:pPr>
      <w:spacing w:after="180"/>
    </w:pPr>
  </w:style>
  <w:style w:type="paragraph" w:customStyle="1" w:styleId="WOBBesluitSubkop">
    <w:name w:val="WOB Besluit Subkop"/>
    <w:basedOn w:val="Standaard"/>
    <w:next w:val="Standaard"/>
    <w:pPr>
      <w:spacing w:before="180" w:after="180"/>
    </w:pPr>
    <w:rPr>
      <w:i/>
    </w:rPr>
  </w:style>
  <w:style w:type="paragraph" w:customStyle="1" w:styleId="WobBijlageLedenArtikel1">
    <w:name w:val="Wob_Bijlage_Leden_Artikel_1"/>
    <w:basedOn w:val="Standaard"/>
    <w:next w:val="Standaard"/>
  </w:style>
  <w:style w:type="paragraph" w:customStyle="1" w:styleId="WobBijlageLedenArtikel10">
    <w:name w:val="Wob_Bijlage_Leden_Artikel_10"/>
    <w:basedOn w:val="Standaard"/>
    <w:next w:val="Standaard"/>
  </w:style>
  <w:style w:type="paragraph" w:customStyle="1" w:styleId="WobBijlageLedenArtikel11">
    <w:name w:val="Wob_Bijlage_Leden_Artikel_11"/>
    <w:basedOn w:val="Standaard"/>
    <w:next w:val="Standaard"/>
  </w:style>
  <w:style w:type="paragraph" w:customStyle="1" w:styleId="WobBijlageLedenArtikel3">
    <w:name w:val="Wob_Bijlage_Leden_Artikel_3"/>
    <w:basedOn w:val="Standaard"/>
    <w:next w:val="Standaard"/>
  </w:style>
  <w:style w:type="paragraph" w:customStyle="1" w:styleId="WobBijlageLedenArtikel6">
    <w:name w:val="Wob_Bijlage_Leden_Artikel_6"/>
    <w:basedOn w:val="Standaard"/>
    <w:next w:val="Standaard"/>
  </w:style>
  <w:style w:type="paragraph" w:customStyle="1" w:styleId="WobBijlageLedenArtikel7">
    <w:name w:val="Wob_Bijlage_Leden_Artikel_7"/>
    <w:basedOn w:val="Standaard"/>
    <w:next w:val="Standaard"/>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Ballontekst">
    <w:name w:val="Balloon Text"/>
    <w:basedOn w:val="Standaard"/>
    <w:link w:val="BallontekstChar"/>
    <w:uiPriority w:val="99"/>
    <w:semiHidden/>
    <w:unhideWhenUsed/>
    <w:rsid w:val="00FF07A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F07A1"/>
    <w:rPr>
      <w:rFonts w:ascii="Tahoma" w:hAnsi="Tahoma" w:cs="Tahoma"/>
      <w:color w:val="000000"/>
      <w:sz w:val="16"/>
      <w:szCs w:val="16"/>
    </w:rPr>
  </w:style>
  <w:style w:type="paragraph" w:styleId="Koptekst">
    <w:name w:val="header"/>
    <w:basedOn w:val="Standaard"/>
    <w:link w:val="KoptekstChar"/>
    <w:uiPriority w:val="99"/>
    <w:unhideWhenUsed/>
    <w:rsid w:val="00B21AD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21AD1"/>
    <w:rPr>
      <w:rFonts w:ascii="Verdana" w:hAnsi="Verdana"/>
      <w:color w:val="000000"/>
      <w:sz w:val="18"/>
      <w:szCs w:val="18"/>
    </w:rPr>
  </w:style>
  <w:style w:type="paragraph" w:styleId="Voettekst">
    <w:name w:val="footer"/>
    <w:basedOn w:val="Standaard"/>
    <w:link w:val="VoettekstChar"/>
    <w:uiPriority w:val="99"/>
    <w:unhideWhenUsed/>
    <w:rsid w:val="00B21AD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21AD1"/>
    <w:rPr>
      <w:rFonts w:ascii="Verdana" w:hAnsi="Verdana"/>
      <w:color w:val="000000"/>
      <w:sz w:val="18"/>
      <w:szCs w:val="18"/>
    </w:rPr>
  </w:style>
  <w:style w:type="character" w:customStyle="1" w:styleId="Kop1Char">
    <w:name w:val="Kop 1 Char"/>
    <w:basedOn w:val="Standaardalinea-lettertype"/>
    <w:link w:val="Kop1"/>
    <w:uiPriority w:val="9"/>
    <w:rsid w:val="00B06534"/>
    <w:rPr>
      <w:rFonts w:ascii="Verdana" w:eastAsiaTheme="majorEastAsia" w:hAnsi="Verdana" w:cstheme="majorBidi"/>
      <w:sz w:val="24"/>
      <w:szCs w:val="32"/>
    </w:rPr>
  </w:style>
  <w:style w:type="paragraph" w:styleId="Titel">
    <w:name w:val="Title"/>
    <w:basedOn w:val="Standaard"/>
    <w:next w:val="Standaard"/>
    <w:link w:val="TitelChar"/>
    <w:uiPriority w:val="10"/>
    <w:qFormat/>
    <w:rsid w:val="00533CA2"/>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533CA2"/>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533CA2"/>
    <w:pPr>
      <w:autoSpaceDN/>
      <w:textAlignment w:val="auto"/>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52106"/>
    <w:pPr>
      <w:ind w:left="720"/>
      <w:contextualSpacing/>
    </w:pPr>
  </w:style>
  <w:style w:type="character" w:styleId="Hyperlink">
    <w:name w:val="Hyperlink"/>
    <w:basedOn w:val="Standaardalinea-lettertype"/>
    <w:uiPriority w:val="99"/>
    <w:unhideWhenUsed/>
    <w:rsid w:val="00160ED6"/>
    <w:rPr>
      <w:color w:val="0563C1" w:themeColor="hyperlink"/>
      <w:u w:val="single"/>
    </w:rPr>
  </w:style>
  <w:style w:type="character" w:customStyle="1" w:styleId="Onopgelostemelding1">
    <w:name w:val="Onopgeloste melding1"/>
    <w:basedOn w:val="Standaardalinea-lettertype"/>
    <w:uiPriority w:val="99"/>
    <w:semiHidden/>
    <w:unhideWhenUsed/>
    <w:rsid w:val="00160ED6"/>
    <w:rPr>
      <w:color w:val="605E5C"/>
      <w:shd w:val="clear" w:color="auto" w:fill="E1DFDD"/>
    </w:rPr>
  </w:style>
  <w:style w:type="paragraph" w:styleId="Voetnoottekst">
    <w:name w:val="footnote text"/>
    <w:basedOn w:val="Standaard"/>
    <w:link w:val="VoetnoottekstChar"/>
    <w:uiPriority w:val="99"/>
    <w:semiHidden/>
    <w:unhideWhenUsed/>
    <w:rsid w:val="00C5233C"/>
    <w:pPr>
      <w:autoSpaceDN/>
      <w:spacing w:line="240" w:lineRule="auto"/>
      <w:jc w:val="both"/>
      <w:textAlignment w:val="auto"/>
    </w:pPr>
    <w:rPr>
      <w:rFonts w:eastAsia="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C5233C"/>
    <w:rPr>
      <w:rFonts w:ascii="Verdana" w:eastAsia="Times New Roman" w:hAnsi="Verdana" w:cs="Times New Roman"/>
    </w:rPr>
  </w:style>
  <w:style w:type="character" w:styleId="Voetnootmarkering">
    <w:name w:val="footnote reference"/>
    <w:basedOn w:val="Standaardalinea-lettertype"/>
    <w:uiPriority w:val="99"/>
    <w:semiHidden/>
    <w:unhideWhenUsed/>
    <w:rsid w:val="00C5233C"/>
    <w:rPr>
      <w:vertAlign w:val="superscript"/>
    </w:rPr>
  </w:style>
  <w:style w:type="character" w:styleId="Verwijzingopmerking">
    <w:name w:val="annotation reference"/>
    <w:basedOn w:val="Standaardalinea-lettertype"/>
    <w:uiPriority w:val="99"/>
    <w:semiHidden/>
    <w:unhideWhenUsed/>
    <w:rsid w:val="002B7CC9"/>
    <w:rPr>
      <w:sz w:val="16"/>
      <w:szCs w:val="16"/>
    </w:rPr>
  </w:style>
  <w:style w:type="paragraph" w:styleId="Tekstopmerking">
    <w:name w:val="annotation text"/>
    <w:basedOn w:val="Standaard"/>
    <w:link w:val="TekstopmerkingChar"/>
    <w:uiPriority w:val="99"/>
    <w:semiHidden/>
    <w:unhideWhenUsed/>
    <w:rsid w:val="002B7CC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B7CC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B7CC9"/>
    <w:rPr>
      <w:b/>
      <w:bCs/>
    </w:rPr>
  </w:style>
  <w:style w:type="character" w:customStyle="1" w:styleId="OnderwerpvanopmerkingChar">
    <w:name w:val="Onderwerp van opmerking Char"/>
    <w:basedOn w:val="TekstopmerkingChar"/>
    <w:link w:val="Onderwerpvanopmerking"/>
    <w:uiPriority w:val="99"/>
    <w:semiHidden/>
    <w:rsid w:val="002B7CC9"/>
    <w:rPr>
      <w:rFonts w:ascii="Verdana" w:hAnsi="Verdana"/>
      <w:b/>
      <w:bCs/>
      <w:color w:val="000000"/>
    </w:rPr>
  </w:style>
  <w:style w:type="paragraph" w:customStyle="1" w:styleId="Stijl1">
    <w:name w:val="Stijl1"/>
    <w:basedOn w:val="RapportNiveau1"/>
    <w:rsid w:val="001808A7"/>
    <w:pPr>
      <w:numPr>
        <w:numId w:val="0"/>
      </w:numPr>
      <w:spacing w:line="276" w:lineRule="auto"/>
      <w:ind w:left="1120" w:hanging="1120"/>
    </w:pPr>
  </w:style>
  <w:style w:type="character" w:customStyle="1" w:styleId="Kop2Char">
    <w:name w:val="Kop 2 Char"/>
    <w:basedOn w:val="Standaardalinea-lettertype"/>
    <w:link w:val="Kop2"/>
    <w:uiPriority w:val="9"/>
    <w:rsid w:val="003A04F7"/>
    <w:rPr>
      <w:rFonts w:ascii="Verdana" w:eastAsiaTheme="majorEastAsia" w:hAnsi="Verdana" w:cstheme="majorBidi"/>
      <w:b/>
      <w:sz w:val="18"/>
      <w:szCs w:val="26"/>
    </w:rPr>
  </w:style>
  <w:style w:type="paragraph" w:styleId="Kopvaninhoudsopgave">
    <w:name w:val="TOC Heading"/>
    <w:basedOn w:val="Kop1"/>
    <w:next w:val="Standaard"/>
    <w:uiPriority w:val="39"/>
    <w:unhideWhenUsed/>
    <w:qFormat/>
    <w:rsid w:val="000128D9"/>
    <w:pPr>
      <w:autoSpaceDN/>
      <w:spacing w:before="480" w:after="0" w:line="276" w:lineRule="auto"/>
      <w:textAlignment w:val="auto"/>
      <w:outlineLvl w:val="9"/>
    </w:pPr>
    <w:rPr>
      <w:rFonts w:asciiTheme="majorHAnsi" w:hAnsiTheme="majorHAnsi"/>
      <w:b/>
      <w:bCs/>
      <w:color w:val="2E74B5" w:themeColor="accent1" w:themeShade="BF"/>
      <w:sz w:val="28"/>
      <w:szCs w:val="28"/>
    </w:rPr>
  </w:style>
  <w:style w:type="character" w:customStyle="1" w:styleId="Verdana8Char">
    <w:name w:val="Verdana 8 Char"/>
    <w:basedOn w:val="Standaardalinea-lettertype"/>
    <w:link w:val="Verdana8"/>
    <w:rsid w:val="000128D9"/>
    <w:rPr>
      <w:rFonts w:ascii="Verdana" w:hAnsi="Verdana"/>
      <w:color w:val="000000"/>
      <w:sz w:val="16"/>
      <w:szCs w:val="16"/>
    </w:rPr>
  </w:style>
  <w:style w:type="character" w:customStyle="1" w:styleId="Inhopg1Char">
    <w:name w:val="Inhopg 1 Char"/>
    <w:basedOn w:val="Verdana8Char"/>
    <w:link w:val="Inhopg1"/>
    <w:uiPriority w:val="39"/>
    <w:rsid w:val="00DE20AB"/>
    <w:rPr>
      <w:rFonts w:asciiTheme="minorHAnsi" w:hAnsiTheme="minorHAnsi" w:cstheme="minorHAnsi"/>
      <w:bCs/>
      <w:caps/>
      <w:color w:val="000000"/>
      <w:sz w:val="16"/>
      <w:szCs w:val="16"/>
    </w:rPr>
  </w:style>
  <w:style w:type="character" w:customStyle="1" w:styleId="Inhopg2Char">
    <w:name w:val="Inhopg 2 Char"/>
    <w:basedOn w:val="Inhopg1Char"/>
    <w:link w:val="Inhopg2"/>
    <w:uiPriority w:val="39"/>
    <w:rsid w:val="00DE20AB"/>
    <w:rPr>
      <w:rFonts w:ascii="Verdana" w:hAnsi="Verdana" w:cstheme="minorHAnsi"/>
      <w:bCs/>
      <w:caps/>
      <w:smallCaps/>
      <w:color w:val="000000"/>
      <w:sz w:val="18"/>
      <w:szCs w:val="18"/>
    </w:rPr>
  </w:style>
  <w:style w:type="character" w:customStyle="1" w:styleId="Kop3Char">
    <w:name w:val="Kop 3 Char"/>
    <w:basedOn w:val="Standaardalinea-lettertype"/>
    <w:link w:val="Kop3"/>
    <w:uiPriority w:val="9"/>
    <w:semiHidden/>
    <w:rsid w:val="00DE20AB"/>
    <w:rPr>
      <w:rFonts w:ascii="Verdana" w:eastAsiaTheme="majorEastAsia" w:hAnsi="Verdana" w:cstheme="majorBidi"/>
      <w:sz w:val="18"/>
      <w:szCs w:val="24"/>
    </w:rPr>
  </w:style>
  <w:style w:type="character" w:styleId="GevolgdeHyperlink">
    <w:name w:val="FollowedHyperlink"/>
    <w:basedOn w:val="Standaardalinea-lettertype"/>
    <w:uiPriority w:val="99"/>
    <w:semiHidden/>
    <w:unhideWhenUsed/>
    <w:rsid w:val="001B6E43"/>
    <w:rPr>
      <w:color w:val="954F72" w:themeColor="followedHyperlink"/>
      <w:u w:val="single"/>
    </w:rPr>
  </w:style>
  <w:style w:type="character" w:styleId="Onopgelostemelding">
    <w:name w:val="Unresolved Mention"/>
    <w:basedOn w:val="Standaardalinea-lettertype"/>
    <w:uiPriority w:val="99"/>
    <w:semiHidden/>
    <w:unhideWhenUsed/>
    <w:rsid w:val="00380ED7"/>
    <w:rPr>
      <w:color w:val="605E5C"/>
      <w:shd w:val="clear" w:color="auto" w:fill="E1DFDD"/>
    </w:rPr>
  </w:style>
  <w:style w:type="paragraph" w:styleId="Geenafstand">
    <w:name w:val="No Spacing"/>
    <w:uiPriority w:val="1"/>
    <w:qFormat/>
    <w:rsid w:val="003312B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866674">
      <w:bodyDiv w:val="1"/>
      <w:marLeft w:val="0"/>
      <w:marRight w:val="0"/>
      <w:marTop w:val="0"/>
      <w:marBottom w:val="0"/>
      <w:divBdr>
        <w:top w:val="none" w:sz="0" w:space="0" w:color="auto"/>
        <w:left w:val="none" w:sz="0" w:space="0" w:color="auto"/>
        <w:bottom w:val="none" w:sz="0" w:space="0" w:color="auto"/>
        <w:right w:val="none" w:sz="0" w:space="0" w:color="auto"/>
      </w:divBdr>
    </w:div>
    <w:div w:id="1392266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gitaleoverheid.nl/overzicht-van-alle-onderwerpen/gegevens/naar-een-gegevenslandschap/themas/twaalf-eisen-stelsel-van-basisregistrat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endse\AppData\Local\Microsoft\Windows\INetCache\IE\6J8LJXVA\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F203D-FD60-446C-A01C-B2D3030D0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Rapport.dotx</Template>
  <TotalTime>403</TotalTime>
  <Pages>36</Pages>
  <Words>7080</Words>
  <Characters>45525</Characters>
  <Application>Microsoft Office Word</Application>
  <DocSecurity>0</DocSecurity>
  <Lines>1379</Lines>
  <Paragraphs>505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52100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Berendse, Ingrid</dc:creator>
  <cp:lastModifiedBy>Simmelink, H.J. (Erik)</cp:lastModifiedBy>
  <cp:revision>20</cp:revision>
  <dcterms:created xsi:type="dcterms:W3CDTF">2019-12-06T13:16:00Z</dcterms:created>
  <dcterms:modified xsi:type="dcterms:W3CDTF">2020-05-01T11:54:00Z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vertrouwelijk</vt:lpwstr>
  </property>
  <property fmtid="{D5CDD505-2E9C-101B-9397-08002B2CF9AE}" pid="3" name="Docgensjabloon">
    <vt:lpwstr>DocGen_Rapport_nl_NL</vt:lpwstr>
  </property>
  <property fmtid="{D5CDD505-2E9C-101B-9397-08002B2CF9AE}" pid="4" name="Datum">
    <vt:lpwstr/>
  </property>
  <property fmtid="{D5CDD505-2E9C-101B-9397-08002B2CF9AE}" pid="5" name="Onderwerp">
    <vt:lpwstr>Titel Rapport</vt:lpwstr>
  </property>
</Properties>
</file>